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B7FCC">
      <w:pPr>
        <w:pStyle w:val="7"/>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bCs/>
          <w:snapToGrid w:val="0"/>
          <w:color w:val="auto"/>
          <w:sz w:val="44"/>
          <w:szCs w:val="44"/>
          <w:highlight w:val="none"/>
          <w:u w:val="none" w:color="auto"/>
        </w:rPr>
      </w:pPr>
      <w:r>
        <w:rPr>
          <w:rFonts w:hint="eastAsia" w:ascii="方正小标宋简体" w:hAnsi="方正小标宋简体" w:eastAsia="方正小标宋简体"/>
          <w:bCs/>
          <w:snapToGrid w:val="0"/>
          <w:color w:val="auto"/>
          <w:sz w:val="44"/>
          <w:szCs w:val="44"/>
          <w:highlight w:val="none"/>
          <w:u w:val="none" w:color="auto"/>
        </w:rPr>
        <w:t>政</w:t>
      </w:r>
      <w:r>
        <w:rPr>
          <w:rFonts w:ascii="方正小标宋简体" w:hAnsi="方正小标宋简体" w:eastAsia="方正小标宋简体"/>
          <w:bCs/>
          <w:snapToGrid w:val="0"/>
          <w:color w:val="auto"/>
          <w:sz w:val="44"/>
          <w:szCs w:val="44"/>
          <w:highlight w:val="none"/>
          <w:u w:val="none" w:color="auto"/>
        </w:rPr>
        <w:t xml:space="preserve"> </w:t>
      </w:r>
      <w:r>
        <w:rPr>
          <w:rFonts w:hint="eastAsia" w:ascii="方正小标宋简体" w:hAnsi="方正小标宋简体" w:eastAsia="方正小标宋简体"/>
          <w:bCs/>
          <w:snapToGrid w:val="0"/>
          <w:color w:val="auto"/>
          <w:sz w:val="44"/>
          <w:szCs w:val="44"/>
          <w:highlight w:val="none"/>
          <w:u w:val="none" w:color="auto"/>
        </w:rPr>
        <w:t>府</w:t>
      </w:r>
      <w:r>
        <w:rPr>
          <w:rFonts w:ascii="方正小标宋简体" w:hAnsi="方正小标宋简体" w:eastAsia="方正小标宋简体"/>
          <w:bCs/>
          <w:snapToGrid w:val="0"/>
          <w:color w:val="auto"/>
          <w:sz w:val="44"/>
          <w:szCs w:val="44"/>
          <w:highlight w:val="none"/>
          <w:u w:val="none" w:color="auto"/>
        </w:rPr>
        <w:t xml:space="preserve"> </w:t>
      </w:r>
      <w:r>
        <w:rPr>
          <w:rFonts w:hint="eastAsia" w:ascii="方正小标宋简体" w:hAnsi="方正小标宋简体" w:eastAsia="方正小标宋简体"/>
          <w:bCs/>
          <w:snapToGrid w:val="0"/>
          <w:color w:val="auto"/>
          <w:sz w:val="44"/>
          <w:szCs w:val="44"/>
          <w:highlight w:val="none"/>
          <w:u w:val="none" w:color="auto"/>
        </w:rPr>
        <w:t>工</w:t>
      </w:r>
      <w:r>
        <w:rPr>
          <w:rFonts w:ascii="方正小标宋简体" w:hAnsi="方正小标宋简体" w:eastAsia="方正小标宋简体"/>
          <w:bCs/>
          <w:snapToGrid w:val="0"/>
          <w:color w:val="auto"/>
          <w:sz w:val="44"/>
          <w:szCs w:val="44"/>
          <w:highlight w:val="none"/>
          <w:u w:val="none" w:color="auto"/>
        </w:rPr>
        <w:t xml:space="preserve"> </w:t>
      </w:r>
      <w:r>
        <w:rPr>
          <w:rFonts w:hint="eastAsia" w:ascii="方正小标宋简体" w:hAnsi="方正小标宋简体" w:eastAsia="方正小标宋简体"/>
          <w:bCs/>
          <w:snapToGrid w:val="0"/>
          <w:color w:val="auto"/>
          <w:sz w:val="44"/>
          <w:szCs w:val="44"/>
          <w:highlight w:val="none"/>
          <w:u w:val="none" w:color="auto"/>
        </w:rPr>
        <w:t>作</w:t>
      </w:r>
      <w:r>
        <w:rPr>
          <w:rFonts w:ascii="方正小标宋简体" w:hAnsi="方正小标宋简体" w:eastAsia="方正小标宋简体"/>
          <w:bCs/>
          <w:snapToGrid w:val="0"/>
          <w:color w:val="auto"/>
          <w:sz w:val="44"/>
          <w:szCs w:val="44"/>
          <w:highlight w:val="none"/>
          <w:u w:val="none" w:color="auto"/>
        </w:rPr>
        <w:t xml:space="preserve"> </w:t>
      </w:r>
      <w:r>
        <w:rPr>
          <w:rFonts w:hint="eastAsia" w:ascii="方正小标宋简体" w:hAnsi="方正小标宋简体" w:eastAsia="方正小标宋简体"/>
          <w:bCs/>
          <w:snapToGrid w:val="0"/>
          <w:color w:val="auto"/>
          <w:sz w:val="44"/>
          <w:szCs w:val="44"/>
          <w:highlight w:val="none"/>
          <w:u w:val="none" w:color="auto"/>
        </w:rPr>
        <w:t>报</w:t>
      </w:r>
      <w:r>
        <w:rPr>
          <w:rFonts w:ascii="方正小标宋简体" w:hAnsi="方正小标宋简体" w:eastAsia="方正小标宋简体"/>
          <w:bCs/>
          <w:snapToGrid w:val="0"/>
          <w:color w:val="auto"/>
          <w:sz w:val="44"/>
          <w:szCs w:val="44"/>
          <w:highlight w:val="none"/>
          <w:u w:val="none" w:color="auto"/>
        </w:rPr>
        <w:t xml:space="preserve"> </w:t>
      </w:r>
      <w:r>
        <w:rPr>
          <w:rFonts w:hint="eastAsia" w:ascii="方正小标宋简体" w:hAnsi="方正小标宋简体" w:eastAsia="方正小标宋简体"/>
          <w:bCs/>
          <w:snapToGrid w:val="0"/>
          <w:color w:val="auto"/>
          <w:sz w:val="44"/>
          <w:szCs w:val="44"/>
          <w:highlight w:val="none"/>
          <w:u w:val="none" w:color="auto"/>
        </w:rPr>
        <w:t>告</w:t>
      </w:r>
    </w:p>
    <w:p w14:paraId="003DB62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楷体_GB2312" w:hAnsi="楷体_GB2312" w:eastAsia="楷体_GB2312" w:cs="楷体_GB2312"/>
          <w:color w:val="auto"/>
          <w:sz w:val="32"/>
          <w:szCs w:val="32"/>
          <w:highlight w:val="none"/>
          <w:u w:val="none" w:color="auto"/>
        </w:rPr>
      </w:pPr>
      <w:r>
        <w:rPr>
          <w:rFonts w:hint="eastAsia" w:ascii="楷体_GB2312" w:hAnsi="楷体_GB2312" w:eastAsia="楷体_GB2312"/>
          <w:color w:val="auto"/>
          <w:sz w:val="32"/>
          <w:szCs w:val="32"/>
          <w:highlight w:val="none"/>
          <w:u w:val="none" w:color="auto"/>
        </w:rPr>
        <w:t>──</w:t>
      </w:r>
      <w:r>
        <w:rPr>
          <w:rFonts w:hint="eastAsia" w:ascii="楷体_GB2312" w:hAnsi="楷体_GB2312" w:eastAsia="楷体_GB2312" w:cs="楷体_GB2312"/>
          <w:color w:val="auto"/>
          <w:sz w:val="32"/>
          <w:szCs w:val="32"/>
          <w:highlight w:val="none"/>
          <w:u w:val="none" w:color="auto"/>
        </w:rPr>
        <w:t>202</w:t>
      </w:r>
      <w:r>
        <w:rPr>
          <w:rFonts w:hint="eastAsia" w:ascii="楷体_GB2312" w:hAnsi="楷体_GB2312" w:eastAsia="楷体_GB2312" w:cs="楷体_GB2312"/>
          <w:color w:val="auto"/>
          <w:sz w:val="32"/>
          <w:szCs w:val="32"/>
          <w:highlight w:val="none"/>
          <w:u w:val="none" w:color="auto"/>
          <w:lang w:val="en-US" w:eastAsia="zh-CN"/>
        </w:rPr>
        <w:t>6</w:t>
      </w:r>
      <w:r>
        <w:rPr>
          <w:rFonts w:hint="eastAsia" w:ascii="楷体_GB2312" w:hAnsi="楷体_GB2312" w:eastAsia="楷体_GB2312" w:cs="楷体_GB2312"/>
          <w:color w:val="auto"/>
          <w:sz w:val="32"/>
          <w:szCs w:val="32"/>
          <w:highlight w:val="none"/>
          <w:u w:val="none" w:color="auto"/>
        </w:rPr>
        <w:t>年</w:t>
      </w:r>
      <w:r>
        <w:rPr>
          <w:rFonts w:hint="eastAsia" w:ascii="楷体_GB2312" w:hAnsi="楷体_GB2312" w:eastAsia="楷体_GB2312" w:cs="楷体_GB2312"/>
          <w:color w:val="auto"/>
          <w:sz w:val="32"/>
          <w:szCs w:val="32"/>
          <w:highlight w:val="none"/>
          <w:u w:val="none" w:color="auto"/>
          <w:lang w:val="en-US" w:eastAsia="zh-CN"/>
        </w:rPr>
        <w:t>2</w:t>
      </w:r>
      <w:r>
        <w:rPr>
          <w:rFonts w:hint="eastAsia" w:ascii="楷体_GB2312" w:hAnsi="楷体_GB2312" w:eastAsia="楷体_GB2312" w:cs="楷体_GB2312"/>
          <w:color w:val="auto"/>
          <w:sz w:val="32"/>
          <w:szCs w:val="32"/>
          <w:highlight w:val="none"/>
          <w:u w:val="none" w:color="auto"/>
        </w:rPr>
        <w:t>月</w:t>
      </w:r>
      <w:r>
        <w:rPr>
          <w:rFonts w:hint="eastAsia" w:ascii="楷体_GB2312" w:hAnsi="楷体_GB2312" w:eastAsia="楷体_GB2312" w:cs="楷体_GB2312"/>
          <w:color w:val="auto"/>
          <w:sz w:val="32"/>
          <w:szCs w:val="32"/>
          <w:highlight w:val="none"/>
          <w:u w:val="none" w:color="auto"/>
          <w:lang w:val="en-US" w:eastAsia="zh-CN"/>
        </w:rPr>
        <w:t>6</w:t>
      </w:r>
      <w:r>
        <w:rPr>
          <w:rFonts w:hint="eastAsia" w:ascii="楷体_GB2312" w:hAnsi="楷体_GB2312" w:eastAsia="楷体_GB2312" w:cs="楷体_GB2312"/>
          <w:color w:val="auto"/>
          <w:sz w:val="32"/>
          <w:szCs w:val="32"/>
          <w:highlight w:val="none"/>
          <w:u w:val="none" w:color="auto"/>
        </w:rPr>
        <w:t>日在烟台市蓬莱区第十九届</w:t>
      </w:r>
    </w:p>
    <w:p w14:paraId="5CBF07A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楷体_GB2312" w:hAnsi="楷体_GB2312" w:eastAsia="楷体_GB2312" w:cs="楷体_GB2312"/>
          <w:color w:val="auto"/>
          <w:highlight w:val="none"/>
          <w:u w:val="none" w:color="auto"/>
        </w:rPr>
      </w:pPr>
      <w:r>
        <w:rPr>
          <w:rFonts w:hint="eastAsia" w:ascii="楷体_GB2312" w:hAnsi="楷体_GB2312" w:eastAsia="楷体_GB2312" w:cs="楷体_GB2312"/>
          <w:color w:val="auto"/>
          <w:sz w:val="32"/>
          <w:szCs w:val="32"/>
          <w:highlight w:val="none"/>
          <w:u w:val="none" w:color="auto"/>
        </w:rPr>
        <w:t>人民代表大会第</w:t>
      </w:r>
      <w:r>
        <w:rPr>
          <w:rFonts w:hint="eastAsia" w:ascii="楷体_GB2312" w:hAnsi="楷体_GB2312" w:eastAsia="楷体_GB2312" w:cs="楷体_GB2312"/>
          <w:color w:val="auto"/>
          <w:sz w:val="32"/>
          <w:szCs w:val="32"/>
          <w:highlight w:val="none"/>
          <w:u w:val="none" w:color="auto"/>
          <w:lang w:val="en-US" w:eastAsia="zh-CN"/>
        </w:rPr>
        <w:t>五</w:t>
      </w:r>
      <w:r>
        <w:rPr>
          <w:rFonts w:hint="eastAsia" w:ascii="楷体_GB2312" w:hAnsi="楷体_GB2312" w:eastAsia="楷体_GB2312" w:cs="楷体_GB2312"/>
          <w:color w:val="auto"/>
          <w:sz w:val="32"/>
          <w:szCs w:val="32"/>
          <w:highlight w:val="none"/>
          <w:u w:val="none" w:color="auto"/>
        </w:rPr>
        <w:t>次会议</w:t>
      </w:r>
      <w:r>
        <w:rPr>
          <w:rFonts w:hint="eastAsia" w:ascii="楷体_GB2312" w:hAnsi="楷体_GB2312" w:eastAsia="楷体_GB2312" w:cs="楷体_GB2312"/>
          <w:color w:val="auto"/>
          <w:sz w:val="32"/>
          <w:szCs w:val="32"/>
          <w:highlight w:val="none"/>
          <w:u w:val="none" w:color="auto"/>
          <w:lang w:val="en-US" w:eastAsia="zh-CN"/>
        </w:rPr>
        <w:t>上</w:t>
      </w:r>
    </w:p>
    <w:p w14:paraId="6470F6E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default" w:ascii="楷体_GB2312" w:hAnsi="楷体_GB2312" w:eastAsia="楷体_GB2312" w:cs="楷体_GB2312"/>
          <w:color w:val="auto"/>
          <w:sz w:val="32"/>
          <w:szCs w:val="32"/>
          <w:highlight w:val="none"/>
          <w:u w:val="none" w:color="auto"/>
          <w:lang w:val="en-US" w:eastAsia="zh-CN"/>
        </w:rPr>
      </w:pPr>
      <w:r>
        <w:rPr>
          <w:rFonts w:hint="eastAsia" w:ascii="楷体_GB2312" w:hAnsi="楷体_GB2312" w:eastAsia="楷体_GB2312" w:cs="楷体_GB2312"/>
          <w:color w:val="auto"/>
          <w:sz w:val="32"/>
          <w:szCs w:val="32"/>
          <w:highlight w:val="none"/>
          <w:u w:val="none" w:color="auto"/>
          <w:lang w:val="en-US" w:eastAsia="zh-CN"/>
        </w:rPr>
        <w:t>烟台市蓬莱区人民政府区长  王长港</w:t>
      </w:r>
    </w:p>
    <w:p w14:paraId="47E19AA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楷体_GB2312" w:hAnsi="楷体_GB2312" w:eastAsia="楷体_GB2312" w:cs="楷体_GB2312"/>
          <w:color w:val="auto"/>
          <w:spacing w:val="0"/>
          <w:kern w:val="0"/>
          <w:sz w:val="32"/>
          <w:highlight w:val="none"/>
          <w:u w:val="none" w:color="auto"/>
        </w:rPr>
      </w:pPr>
      <w:r>
        <w:rPr>
          <w:rFonts w:hint="eastAsia"/>
          <w:color w:val="auto"/>
          <w:spacing w:val="0"/>
          <w:kern w:val="0"/>
          <w:sz w:val="32"/>
          <w:szCs w:val="32"/>
          <w:highlight w:val="none"/>
          <w:u w:val="none" w:color="auto"/>
          <w:lang w:val="zh-CN"/>
        </w:rPr>
        <w:t>各位代表：</w:t>
      </w:r>
    </w:p>
    <w:p w14:paraId="4F9B2B16">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pacing w:val="0"/>
          <w:kern w:val="0"/>
          <w:sz w:val="32"/>
          <w:szCs w:val="32"/>
          <w:highlight w:val="none"/>
          <w:u w:val="none" w:color="auto"/>
        </w:rPr>
      </w:pPr>
      <w:r>
        <w:rPr>
          <w:rFonts w:hint="eastAsia"/>
          <w:color w:val="auto"/>
          <w:spacing w:val="0"/>
          <w:kern w:val="0"/>
          <w:sz w:val="32"/>
          <w:szCs w:val="32"/>
          <w:highlight w:val="none"/>
          <w:u w:val="none" w:color="auto"/>
        </w:rPr>
        <w:t>现在，我代表区人民政府向大会报告工作，请予审议，并请区政协委员和其他列席会议的同志提出意见。</w:t>
      </w:r>
    </w:p>
    <w:p w14:paraId="63C251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rPr>
        <w:t>一、</w:t>
      </w:r>
      <w:r>
        <w:rPr>
          <w:rFonts w:hint="eastAsia" w:ascii="黑体" w:hAnsi="黑体" w:eastAsia="黑体" w:cs="黑体"/>
          <w:color w:val="auto"/>
          <w:spacing w:val="0"/>
          <w:kern w:val="0"/>
          <w:sz w:val="32"/>
          <w:szCs w:val="32"/>
          <w:highlight w:val="none"/>
          <w:u w:val="none" w:color="auto"/>
          <w:lang w:eastAsia="zh-CN"/>
        </w:rPr>
        <w:t>“</w:t>
      </w:r>
      <w:r>
        <w:rPr>
          <w:rFonts w:hint="eastAsia" w:ascii="黑体" w:hAnsi="黑体" w:eastAsia="黑体" w:cs="黑体"/>
          <w:color w:val="auto"/>
          <w:spacing w:val="0"/>
          <w:kern w:val="0"/>
          <w:sz w:val="32"/>
          <w:szCs w:val="32"/>
          <w:highlight w:val="none"/>
          <w:u w:val="none" w:color="auto"/>
          <w:lang w:val="en-US" w:eastAsia="zh-CN"/>
        </w:rPr>
        <w:t>十四五</w:t>
      </w:r>
      <w:r>
        <w:rPr>
          <w:rFonts w:hint="eastAsia" w:ascii="黑体" w:hAnsi="黑体" w:eastAsia="黑体" w:cs="黑体"/>
          <w:color w:val="auto"/>
          <w:spacing w:val="0"/>
          <w:kern w:val="0"/>
          <w:sz w:val="32"/>
          <w:szCs w:val="32"/>
          <w:highlight w:val="none"/>
          <w:u w:val="none" w:color="auto"/>
          <w:lang w:eastAsia="zh-CN"/>
        </w:rPr>
        <w:t>”</w:t>
      </w:r>
      <w:r>
        <w:rPr>
          <w:rFonts w:hint="eastAsia" w:ascii="黑体" w:hAnsi="黑体" w:eastAsia="黑体" w:cs="黑体"/>
          <w:color w:val="auto"/>
          <w:spacing w:val="0"/>
          <w:kern w:val="0"/>
          <w:sz w:val="32"/>
          <w:szCs w:val="32"/>
          <w:highlight w:val="none"/>
          <w:u w:val="none" w:color="auto"/>
          <w:lang w:val="en-US" w:eastAsia="zh-CN"/>
        </w:rPr>
        <w:t>时期和2025年工作回顾</w:t>
      </w:r>
    </w:p>
    <w:p w14:paraId="0F2E16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color w:val="auto"/>
          <w:spacing w:val="0"/>
          <w:kern w:val="0"/>
          <w:sz w:val="32"/>
          <w:szCs w:val="32"/>
          <w:highlight w:val="none"/>
          <w:u w:val="none" w:color="auto"/>
          <w:lang w:eastAsia="zh-CN"/>
        </w:rPr>
        <w:t>“</w:t>
      </w:r>
      <w:r>
        <w:rPr>
          <w:rFonts w:hint="eastAsia"/>
          <w:color w:val="auto"/>
          <w:spacing w:val="0"/>
          <w:kern w:val="0"/>
          <w:sz w:val="32"/>
          <w:szCs w:val="32"/>
          <w:highlight w:val="none"/>
          <w:u w:val="none" w:color="auto"/>
          <w:lang w:val="en-US" w:eastAsia="zh-CN"/>
        </w:rPr>
        <w:t>十四五</w:t>
      </w:r>
      <w:r>
        <w:rPr>
          <w:rFonts w:hint="eastAsia"/>
          <w:color w:val="auto"/>
          <w:spacing w:val="0"/>
          <w:kern w:val="0"/>
          <w:sz w:val="32"/>
          <w:szCs w:val="32"/>
          <w:highlight w:val="none"/>
          <w:u w:val="none" w:color="auto"/>
          <w:lang w:eastAsia="zh-CN"/>
        </w:rPr>
        <w:t>”</w:t>
      </w:r>
      <w:r>
        <w:rPr>
          <w:rFonts w:hint="eastAsia"/>
          <w:color w:val="auto"/>
          <w:spacing w:val="0"/>
          <w:kern w:val="0"/>
          <w:sz w:val="32"/>
          <w:szCs w:val="32"/>
          <w:highlight w:val="none"/>
          <w:u w:val="none" w:color="auto"/>
          <w:lang w:val="en-US" w:eastAsia="zh-CN"/>
        </w:rPr>
        <w:t>时期是蓬莱发展史上极不寻常的五年。面对错综</w:t>
      </w:r>
      <w:r>
        <w:rPr>
          <w:rFonts w:hint="eastAsia"/>
          <w:color w:val="auto"/>
          <w:spacing w:val="-6"/>
          <w:kern w:val="0"/>
          <w:sz w:val="32"/>
          <w:szCs w:val="32"/>
          <w:highlight w:val="none"/>
          <w:u w:val="none" w:color="auto"/>
          <w:lang w:val="en-US" w:eastAsia="zh-CN"/>
        </w:rPr>
        <w:t>复杂的外部形势、持续加大的下行压力、艰巨繁重的改革发展稳定任务，区政府坚持以习近平新时代中国特色社会主义思想为指导，</w:t>
      </w:r>
      <w:r>
        <w:rPr>
          <w:rFonts w:hint="eastAsia"/>
          <w:color w:val="auto"/>
          <w:spacing w:val="0"/>
          <w:kern w:val="0"/>
          <w:sz w:val="32"/>
          <w:szCs w:val="32"/>
          <w:highlight w:val="none"/>
          <w:u w:val="none" w:color="auto"/>
          <w:lang w:val="en-US" w:eastAsia="zh-CN"/>
        </w:rPr>
        <w:t>深入贯彻习近平总书记视察山东重要讲话和重要指示批示精神，全面落实党的二十大和二十届历次全会精神，在区委的坚强领导下，在区人大、区政协的监督支持下，团结依靠广大干部群众，踔厉奋发、砥砺前行，圆满完成“十四五”各项目标任务，高质量发展取得新成效。</w:t>
      </w:r>
    </w:p>
    <w:p w14:paraId="13969F78">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6"/>
          <w:kern w:val="0"/>
          <w:sz w:val="32"/>
          <w:szCs w:val="32"/>
          <w:highlight w:val="none"/>
          <w:u w:val="none" w:color="auto"/>
          <w:lang w:val="en-US" w:eastAsia="zh-CN"/>
        </w:rPr>
        <w:t>五年来，我们保持定力、迎难而上，综合实力大幅攀升。</w:t>
      </w:r>
      <w:r>
        <w:rPr>
          <w:rFonts w:hint="eastAsia"/>
          <w:color w:val="auto"/>
          <w:spacing w:val="0"/>
          <w:kern w:val="0"/>
          <w:sz w:val="32"/>
          <w:szCs w:val="32"/>
          <w:highlight w:val="none"/>
          <w:u w:val="none" w:color="auto"/>
          <w:lang w:val="en-US" w:eastAsia="zh-CN"/>
        </w:rPr>
        <w:t>地区生产总值年均增长6.5%，稳步跨过两个百亿级台阶；一般公共预算收入年均增长3.4%；规模以上工业增加值年均增长13.1%；社会消费品零售总额年均增长8.6%；累计实际使用外资7亿美元、实现外贸进出口749.7亿元，分别提升23.2%和90.2%；</w:t>
      </w:r>
      <w:r>
        <w:rPr>
          <w:rFonts w:hint="eastAsia"/>
          <w:color w:val="auto"/>
          <w:spacing w:val="-6"/>
          <w:kern w:val="0"/>
          <w:sz w:val="32"/>
          <w:szCs w:val="32"/>
          <w:highlight w:val="none"/>
          <w:u w:val="none" w:color="auto"/>
          <w:lang w:val="en-US" w:eastAsia="zh-CN"/>
        </w:rPr>
        <w:t>先后招引过亿元项目128个，86个项目列入省市重点。成功入选</w:t>
      </w:r>
      <w:r>
        <w:rPr>
          <w:rFonts w:hint="eastAsia"/>
          <w:color w:val="auto"/>
          <w:spacing w:val="0"/>
          <w:kern w:val="0"/>
          <w:sz w:val="32"/>
          <w:szCs w:val="32"/>
          <w:highlight w:val="none"/>
          <w:u w:val="none" w:color="auto"/>
          <w:lang w:val="en-US" w:eastAsia="zh-CN"/>
        </w:rPr>
        <w:t>山东省绿色低碳高质量发展先行区建设试点，获评全国首批自然资源节约集约示范县、山东省县域经济高质量发展先进县、进步县，4项工作获省委、省政府督查激励，四年3次荣获烟台市综合绩效考核一等奖。</w:t>
      </w:r>
    </w:p>
    <w:p w14:paraId="39D07E6A">
      <w:pPr>
        <w:keepNext w:val="0"/>
        <w:keepLines w:val="0"/>
        <w:pageBreakBefore w:val="0"/>
        <w:widowControl w:val="0"/>
        <w:kinsoku/>
        <w:wordWrap/>
        <w:overflowPunct/>
        <w:topLinePunct w:val="0"/>
        <w:autoSpaceDE/>
        <w:autoSpaceDN/>
        <w:bidi w:val="0"/>
        <w:adjustRightInd/>
        <w:snapToGrid/>
        <w:spacing w:line="568" w:lineRule="exact"/>
        <w:ind w:left="0" w:leftChars="0" w:firstLine="664" w:firstLineChars="200"/>
        <w:textAlignment w:val="auto"/>
        <w:rPr>
          <w:rFonts w:hint="eastAsia"/>
          <w:b w:val="0"/>
          <w:bCs w:val="0"/>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6"/>
          <w:kern w:val="0"/>
          <w:sz w:val="32"/>
          <w:szCs w:val="32"/>
          <w:highlight w:val="none"/>
          <w:u w:val="none" w:color="auto"/>
          <w:lang w:val="en-US" w:eastAsia="zh-CN"/>
        </w:rPr>
        <w:t>五年来，我们重抓转型、培强育新，产业集群加速壮大。</w:t>
      </w:r>
      <w:r>
        <w:rPr>
          <w:rFonts w:hint="eastAsia"/>
          <w:b w:val="0"/>
          <w:bCs w:val="0"/>
          <w:color w:val="auto"/>
          <w:spacing w:val="0"/>
          <w:kern w:val="0"/>
          <w:sz w:val="32"/>
          <w:szCs w:val="32"/>
          <w:highlight w:val="none"/>
          <w:u w:val="none" w:color="auto"/>
          <w:lang w:val="en-US" w:eastAsia="zh-CN"/>
        </w:rPr>
        <w:t>园区发展积厚成势。万华新材料低碳产业园拔地而起，累计投入407亿元，30个产业项目和配套工程建成投用，园区综合承载能力大幅提升，集聚效应日益凸显，产值较2020年翻了三番，获评山东省绿色工业园区。海工装备产业园聚链成群，接续实施总投资109亿元的重点项目15个，新落地世界五百强和行业头部企业5家，园区产值较2020年增长2倍，获评国家级中小企业特色产业集群、山东省现代海洋特色产业集聚区。其它镇级园区累计实施产业项目68个、完成投资17亿元，“腾笼换鸟”步伐不断加快，老园区焕发新活力。文化旅游守正创新。</w:t>
      </w:r>
      <w:r>
        <w:rPr>
          <w:rFonts w:hint="eastAsia"/>
          <w:b w:val="0"/>
          <w:bCs w:val="0"/>
          <w:strike w:val="0"/>
          <w:dstrike w:val="0"/>
          <w:color w:val="auto"/>
          <w:spacing w:val="0"/>
          <w:kern w:val="0"/>
          <w:sz w:val="32"/>
          <w:szCs w:val="32"/>
          <w:highlight w:val="none"/>
          <w:u w:val="none" w:color="auto"/>
          <w:lang w:val="en-US" w:eastAsia="zh-CN"/>
        </w:rPr>
        <w:t>加强历史文化名城、街区、村镇有效保护和活态传承，</w:t>
      </w:r>
      <w:r>
        <w:rPr>
          <w:rFonts w:hint="eastAsia"/>
          <w:b w:val="0"/>
          <w:bCs w:val="0"/>
          <w:color w:val="auto"/>
          <w:spacing w:val="0"/>
          <w:kern w:val="0"/>
          <w:sz w:val="32"/>
          <w:szCs w:val="32"/>
          <w:highlight w:val="none"/>
          <w:u w:val="none" w:color="auto"/>
          <w:lang w:val="en-US" w:eastAsia="zh-CN"/>
        </w:rPr>
        <w:t>新获评4处省级文保单位，高质量推进《登州通史》编撰，蓬莱阁景区入选国家级文化产业示范基地。创新打造“神仙生活蓬莱湾”品牌，构建“上山、下海、登阁、入市”大旅游格局，“一带三谷满天星”全域旅游纵深发展。五年累计接待游客5600多万人次，“蓬莱湾”项目入选省文旅产业赋能城市发展典型案例，获评全国市辖区旅</w:t>
      </w:r>
      <w:r>
        <w:rPr>
          <w:rFonts w:hint="eastAsia"/>
          <w:b w:val="0"/>
          <w:bCs w:val="0"/>
          <w:color w:val="auto"/>
          <w:spacing w:val="-6"/>
          <w:kern w:val="0"/>
          <w:sz w:val="32"/>
          <w:szCs w:val="32"/>
          <w:highlight w:val="none"/>
          <w:u w:val="none" w:color="auto"/>
          <w:lang w:val="en-US" w:eastAsia="zh-CN"/>
        </w:rPr>
        <w:t>游综合实力百强区、国家级夜间文旅消费集聚区、省文化和旅游产业先进县。特色产业亮点纷呈。葡萄与葡萄酒产业签约落地唯一的</w:t>
      </w:r>
      <w:r>
        <w:rPr>
          <w:rFonts w:hint="eastAsia"/>
          <w:b w:val="0"/>
          <w:bCs w:val="0"/>
          <w:color w:val="auto"/>
          <w:spacing w:val="0"/>
          <w:kern w:val="0"/>
          <w:sz w:val="32"/>
          <w:szCs w:val="32"/>
          <w:highlight w:val="none"/>
          <w:u w:val="none" w:color="auto"/>
          <w:lang w:val="en-US" w:eastAsia="zh-CN"/>
        </w:rPr>
        <w:t>国</w:t>
      </w:r>
      <w:r>
        <w:rPr>
          <w:rFonts w:hint="eastAsia"/>
          <w:b w:val="0"/>
          <w:bCs w:val="0"/>
          <w:color w:val="auto"/>
          <w:spacing w:val="6"/>
          <w:kern w:val="0"/>
          <w:sz w:val="32"/>
          <w:szCs w:val="32"/>
          <w:highlight w:val="none"/>
          <w:u w:val="none" w:color="auto"/>
          <w:lang w:val="en-US" w:eastAsia="zh-CN"/>
        </w:rPr>
        <w:t>家级葡萄酒技术性贸易措施研究评议基地，被授予中国海岸</w:t>
      </w:r>
      <w:r>
        <w:rPr>
          <w:rFonts w:hint="eastAsia"/>
          <w:b w:val="0"/>
          <w:bCs w:val="0"/>
          <w:color w:val="auto"/>
          <w:spacing w:val="0"/>
          <w:kern w:val="0"/>
          <w:sz w:val="32"/>
          <w:szCs w:val="32"/>
          <w:highlight w:val="none"/>
          <w:u w:val="none" w:color="auto"/>
          <w:lang w:val="en-US" w:eastAsia="zh-CN"/>
        </w:rPr>
        <w:t>葡萄酒示范区。汽车及零部件产业顺利下线国内首台室外双模重载防爆AGV，产业转型步伐加快。绿色建造产业形成集钢结构、木结构、集成房屋等于一体的产业链条，入选山东省新型建筑工业化产业基地。生物医药产业助推远大生命科学、奥蓝之海、华康生物等攀高向新，实现提质增效。黄金产业加快资源整合步伐，产业技术水平和附加值稳步提升，产出规模比2020年提升2倍。</w:t>
      </w:r>
    </w:p>
    <w:p w14:paraId="19902EB9">
      <w:pPr>
        <w:keepNext w:val="0"/>
        <w:keepLines w:val="0"/>
        <w:pageBreakBefore w:val="0"/>
        <w:widowControl w:val="0"/>
        <w:kinsoku/>
        <w:wordWrap/>
        <w:overflowPunct/>
        <w:topLinePunct w:val="0"/>
        <w:autoSpaceDE/>
        <w:autoSpaceDN/>
        <w:bidi w:val="0"/>
        <w:adjustRightInd/>
        <w:snapToGrid/>
        <w:spacing w:line="568" w:lineRule="exact"/>
        <w:ind w:left="0" w:leftChars="0" w:firstLine="664" w:firstLineChars="200"/>
        <w:textAlignment w:val="auto"/>
        <w:rPr>
          <w:rFonts w:hint="default" w:cs="仿宋_GB2312"/>
          <w:b w:val="0"/>
          <w:bCs w:val="0"/>
          <w:color w:val="auto"/>
          <w:spacing w:val="0"/>
          <w:kern w:val="0"/>
          <w:position w:val="0"/>
          <w:sz w:val="32"/>
          <w:szCs w:val="32"/>
          <w:highlight w:val="none"/>
          <w:u w:val="none" w:color="auto"/>
          <w:lang w:val="en-US" w:eastAsia="zh-CN"/>
        </w:rPr>
      </w:pPr>
      <w:r>
        <w:rPr>
          <w:rFonts w:hint="eastAsia" w:ascii="楷体_GB2312" w:hAnsi="楷体_GB2312" w:eastAsia="楷体_GB2312" w:cs="楷体_GB2312"/>
          <w:color w:val="auto"/>
          <w:spacing w:val="6"/>
          <w:kern w:val="0"/>
          <w:sz w:val="32"/>
          <w:szCs w:val="32"/>
          <w:highlight w:val="none"/>
          <w:u w:val="none" w:color="auto"/>
          <w:lang w:val="en-US" w:eastAsia="zh-CN"/>
        </w:rPr>
        <w:t>五年来，我们全域统筹、内外兼修，城乡面貌焕然一新。</w:t>
      </w:r>
      <w:r>
        <w:rPr>
          <w:rFonts w:hint="eastAsia"/>
          <w:color w:val="auto"/>
          <w:spacing w:val="0"/>
          <w:kern w:val="0"/>
          <w:sz w:val="32"/>
          <w:szCs w:val="32"/>
          <w:highlight w:val="none"/>
          <w:u w:val="none" w:color="auto"/>
          <w:lang w:val="en-US" w:eastAsia="zh-CN"/>
        </w:rPr>
        <w:t>城市更新步伐加快。“交通一张网”加速完善，新建改建道路40条，打通断头路16条，构建起“一环四横八纵”骨干路网。“画河一条线”连片突破，画河水利市政工程全线贯通，获评省级美丽幸福河湖。“公园成一环”景致焕新，新建改造城市公园7处，中心城区绿化率不断提升。“蓬莱之心一大片”稳步推进，小皂河水脉景观带竣工开放，体育场和游泳馆钢结构主体完工。完成老旧小区改造104个，整治背街小巷235条。常住人口城镇化率提高4个百分点。乡村振兴成色更足。打造省级和美乡村16个，建设高标准农田6万亩，完成县乡村路改造340公里、农村危房改造458户，规模化供水率达到98%。创建省级以上产业强镇6个，培育市级以上重点龙头企业23家，2家入围中国农业企业500强，荣获国家农业现代化示范区。生态环境质量更优。持续打好蓝天、碧水、净土保卫战，高标准完成中央和省环保督察反</w:t>
      </w:r>
      <w:r>
        <w:rPr>
          <w:rFonts w:hint="eastAsia" w:cs="仿宋_GB2312"/>
          <w:color w:val="auto"/>
          <w:spacing w:val="0"/>
          <w:kern w:val="0"/>
          <w:sz w:val="32"/>
          <w:szCs w:val="32"/>
          <w:highlight w:val="none"/>
          <w:u w:val="none" w:color="auto"/>
          <w:lang w:val="en-US" w:eastAsia="zh-CN"/>
        </w:rPr>
        <w:t>馈问题整改，</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rPr>
        <w:t>空气质量</w:t>
      </w:r>
      <w:r>
        <w:rPr>
          <w:rFonts w:hint="eastAsia" w:cs="仿宋_GB2312"/>
          <w:b w:val="0"/>
          <w:bCs w:val="0"/>
          <w:color w:val="auto"/>
          <w:spacing w:val="0"/>
          <w:kern w:val="0"/>
          <w:position w:val="0"/>
          <w:sz w:val="32"/>
          <w:szCs w:val="32"/>
          <w:highlight w:val="none"/>
          <w:u w:val="none" w:color="auto"/>
          <w:lang w:val="en-US" w:eastAsia="zh-CN"/>
        </w:rPr>
        <w:t>常年保持</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rPr>
        <w:t>国家二级</w:t>
      </w:r>
      <w:r>
        <w:rPr>
          <w:rFonts w:hint="eastAsia" w:cs="仿宋_GB2312"/>
          <w:b w:val="0"/>
          <w:bCs w:val="0"/>
          <w:color w:val="auto"/>
          <w:spacing w:val="0"/>
          <w:kern w:val="0"/>
          <w:position w:val="0"/>
          <w:sz w:val="32"/>
          <w:szCs w:val="32"/>
          <w:highlight w:val="none"/>
          <w:u w:val="none" w:color="auto"/>
          <w:lang w:val="en-US" w:eastAsia="zh-CN"/>
        </w:rPr>
        <w:t>标准，良好生态环境更加可见可感可得。</w:t>
      </w:r>
    </w:p>
    <w:p w14:paraId="4418399A">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textAlignment w:val="auto"/>
        <w:rPr>
          <w:rFonts w:hint="default"/>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6"/>
          <w:kern w:val="0"/>
          <w:sz w:val="32"/>
          <w:szCs w:val="32"/>
          <w:highlight w:val="none"/>
          <w:u w:val="none" w:color="auto"/>
          <w:lang w:val="en-US" w:eastAsia="zh-CN"/>
        </w:rPr>
        <w:t>五年来，我们深化改革、扩大开放，发展活力持续释放。</w:t>
      </w:r>
      <w:r>
        <w:rPr>
          <w:rFonts w:hint="eastAsia"/>
          <w:color w:val="auto"/>
          <w:spacing w:val="0"/>
          <w:kern w:val="0"/>
          <w:sz w:val="32"/>
          <w:szCs w:val="32"/>
          <w:highlight w:val="none"/>
          <w:u w:val="none" w:color="auto"/>
          <w:lang w:val="en-US" w:eastAsia="zh-CN"/>
        </w:rPr>
        <w:t>重点改革纵深推进。新一轮机构改革顺利完成。“放管服”“高效办成一件事”改革不断深化。国资国企、财税金融、农业农村、城市管理、社会治理等领域改革协同并进，发展内生动力持续激活。科技创新成效显著。高新技术企业达到114家、是2020年的2.1倍，高新技术产业产值占比达到74.4%、提高8.9个百分点。超硬复合材料“山东省高性能硬质合金及精密工具重点实验室”获批，打破我区没有省级重点实验室的历史。引进硕士以上高层次人才1698人，入选国家级人才26人。对外开放成果丰硕。13家企业获签RCEP原产地证书，全市第一家“跨境电商+文旅”消费新场景、全省第四家葡萄酒公用型保税仓库建成投用，获批国家外贸转型升级基地。举办承办世界七大葡萄海岸产区对话等活动60余场次，国际友好城市增加至4个。</w:t>
      </w:r>
    </w:p>
    <w:p w14:paraId="6863ED3A">
      <w:pPr>
        <w:keepNext w:val="0"/>
        <w:keepLines w:val="0"/>
        <w:pageBreakBefore w:val="0"/>
        <w:widowControl w:val="0"/>
        <w:kinsoku/>
        <w:wordWrap/>
        <w:overflowPunct/>
        <w:topLinePunct w:val="0"/>
        <w:autoSpaceDE/>
        <w:autoSpaceDN/>
        <w:bidi w:val="0"/>
        <w:adjustRightInd/>
        <w:snapToGrid/>
        <w:spacing w:line="568" w:lineRule="exact"/>
        <w:ind w:left="0" w:leftChars="0" w:firstLine="664"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6"/>
          <w:kern w:val="0"/>
          <w:sz w:val="32"/>
          <w:szCs w:val="32"/>
          <w:highlight w:val="none"/>
          <w:u w:val="none" w:color="auto"/>
          <w:lang w:val="en-US" w:eastAsia="zh-CN"/>
        </w:rPr>
        <w:t>五年来，我们牢记宗旨、执政为民，民生福祉日益增进。</w:t>
      </w:r>
      <w:r>
        <w:rPr>
          <w:rFonts w:hint="eastAsia"/>
          <w:color w:val="auto"/>
          <w:spacing w:val="0"/>
          <w:kern w:val="0"/>
          <w:sz w:val="32"/>
          <w:szCs w:val="32"/>
          <w:highlight w:val="none"/>
          <w:u w:val="none" w:color="auto"/>
          <w:lang w:val="en-US" w:eastAsia="zh-CN"/>
        </w:rPr>
        <w:t>社会保障扎实有力。民生领域累计支出214亿元、占财政支出的77%。城镇新增就业3.3万人，居民人均可支配收入年均增长6.5%。城乡居民基础养老金调增5次，城乡低保标准提高200元以上。防返贫监测帮扶机制不断完善，脱贫攻坚成果持续巩固。教育医疗扩面提质。新改扩建中小学23所、新增9处公办幼儿园，获评全国学前教育普及普惠县、全国义务教育优质均衡发展县。5处综合医疗机构、97个薄弱村卫生室实现改造提升，居民普通门诊报销比例由50%提高至65%。社会大局和谐稳定。高效</w:t>
      </w:r>
      <w:r>
        <w:rPr>
          <w:rFonts w:hint="eastAsia"/>
          <w:color w:val="auto"/>
          <w:spacing w:val="-6"/>
          <w:kern w:val="0"/>
          <w:sz w:val="32"/>
          <w:szCs w:val="32"/>
          <w:highlight w:val="none"/>
          <w:u w:val="none" w:color="auto"/>
          <w:lang w:val="en-US" w:eastAsia="zh-CN"/>
        </w:rPr>
        <w:t>统筹疫情防控和经济社会发展，</w:t>
      </w:r>
      <w:r>
        <w:rPr>
          <w:rFonts w:hint="eastAsia"/>
          <w:strike w:val="0"/>
          <w:dstrike w:val="0"/>
          <w:color w:val="auto"/>
          <w:spacing w:val="-6"/>
          <w:kern w:val="0"/>
          <w:sz w:val="32"/>
          <w:szCs w:val="32"/>
          <w:highlight w:val="none"/>
          <w:u w:val="none" w:color="auto"/>
          <w:lang w:val="en-US" w:eastAsia="zh-CN"/>
        </w:rPr>
        <w:t>生产安全事故持续下降，重大</w:t>
      </w:r>
      <w:r>
        <w:rPr>
          <w:rFonts w:hint="eastAsia" w:cs="仿宋_GB2312"/>
          <w:strike w:val="0"/>
          <w:dstrike w:val="0"/>
          <w:color w:val="auto"/>
          <w:spacing w:val="-6"/>
          <w:kern w:val="0"/>
          <w:sz w:val="32"/>
          <w:szCs w:val="32"/>
          <w:highlight w:val="none"/>
          <w:u w:val="none" w:color="auto"/>
          <w:lang w:val="en-US" w:eastAsia="zh-CN"/>
        </w:rPr>
        <w:t>风险</w:t>
      </w:r>
      <w:r>
        <w:rPr>
          <w:rFonts w:hint="eastAsia" w:cs="仿宋_GB2312"/>
          <w:strike w:val="0"/>
          <w:dstrike w:val="0"/>
          <w:color w:val="auto"/>
          <w:spacing w:val="6"/>
          <w:kern w:val="0"/>
          <w:sz w:val="32"/>
          <w:szCs w:val="32"/>
          <w:highlight w:val="none"/>
          <w:u w:val="none" w:color="auto"/>
          <w:lang w:val="en-US" w:eastAsia="zh-CN"/>
        </w:rPr>
        <w:t>防范有力有效</w:t>
      </w:r>
      <w:r>
        <w:rPr>
          <w:rFonts w:hint="eastAsia" w:cs="仿宋_GB2312"/>
          <w:strike w:val="0"/>
          <w:color w:val="auto"/>
          <w:spacing w:val="6"/>
          <w:kern w:val="0"/>
          <w:sz w:val="32"/>
          <w:szCs w:val="32"/>
          <w:highlight w:val="none"/>
          <w:u w:val="none" w:color="auto"/>
          <w:lang w:val="en-US" w:eastAsia="zh-CN"/>
        </w:rPr>
        <w:t>，</w:t>
      </w:r>
      <w:r>
        <w:rPr>
          <w:rFonts w:hint="eastAsia" w:cs="仿宋_GB2312"/>
          <w:color w:val="auto"/>
          <w:spacing w:val="6"/>
          <w:kern w:val="0"/>
          <w:sz w:val="32"/>
          <w:szCs w:val="32"/>
          <w:highlight w:val="none"/>
          <w:u w:val="none" w:color="auto"/>
          <w:lang w:val="en-US" w:eastAsia="zh-CN"/>
        </w:rPr>
        <w:t>社会治理效能持续提升，</w:t>
      </w:r>
      <w:r>
        <w:rPr>
          <w:rFonts w:hint="eastAsia"/>
          <w:color w:val="auto"/>
          <w:spacing w:val="6"/>
          <w:kern w:val="0"/>
          <w:sz w:val="32"/>
          <w:szCs w:val="32"/>
          <w:highlight w:val="none"/>
          <w:u w:val="none" w:color="auto"/>
          <w:lang w:val="en-US" w:eastAsia="zh-CN"/>
        </w:rPr>
        <w:t>防灾减灾救灾能力</w:t>
      </w:r>
      <w:r>
        <w:rPr>
          <w:rFonts w:hint="eastAsia"/>
          <w:color w:val="auto"/>
          <w:spacing w:val="0"/>
          <w:kern w:val="0"/>
          <w:sz w:val="32"/>
          <w:szCs w:val="32"/>
          <w:highlight w:val="none"/>
          <w:u w:val="none" w:color="auto"/>
          <w:lang w:val="en-US" w:eastAsia="zh-CN"/>
        </w:rPr>
        <w:t>稳步提高，群众安全感、获得感、幸福感显著提升。</w:t>
      </w:r>
    </w:p>
    <w:p w14:paraId="3DDF4977">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textAlignment w:val="auto"/>
        <w:rPr>
          <w:rFonts w:hint="eastAsia"/>
          <w:snapToGrid w:val="0"/>
          <w:color w:val="auto"/>
          <w:spacing w:val="0"/>
          <w:kern w:val="0"/>
          <w:sz w:val="32"/>
          <w:szCs w:val="32"/>
          <w:highlight w:val="none"/>
          <w:u w:val="none" w:color="auto"/>
          <w:lang w:val="en-US" w:eastAsia="zh-CN"/>
        </w:rPr>
      </w:pPr>
      <w:r>
        <w:rPr>
          <w:rFonts w:hint="eastAsia"/>
          <w:snapToGrid w:val="0"/>
          <w:color w:val="auto"/>
          <w:spacing w:val="0"/>
          <w:kern w:val="0"/>
          <w:sz w:val="32"/>
          <w:szCs w:val="32"/>
          <w:highlight w:val="none"/>
          <w:u w:val="none" w:color="auto"/>
          <w:lang w:val="en-US" w:eastAsia="zh-CN"/>
        </w:rPr>
        <w:t>五年来，国防动员、退役军人、双拥共建、海防等工作持续巩固，东西协作、民族宗教、水文气象、史志档案、机关事务、外事侨务、邮政通信、广播电视等工作取得新成效，老龄、妇女儿童、青少年、残疾人、工会、科协、红十字会、慈善、志愿服务、关心下一代等事业实现新进步。</w:t>
      </w:r>
    </w:p>
    <w:p w14:paraId="46170CAC">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仿宋_GB2312" w:hAnsi="仿宋_GB2312" w:eastAsia="仿宋_GB2312" w:cs="仿宋_GB2312"/>
          <w:color w:val="auto"/>
          <w:spacing w:val="0"/>
          <w:kern w:val="0"/>
          <w:sz w:val="32"/>
          <w:szCs w:val="32"/>
          <w:highlight w:val="none"/>
          <w:u w:val="none" w:color="auto"/>
          <w:lang w:val="en-US" w:eastAsia="zh-CN"/>
        </w:rPr>
        <w:t>五年来，我们始终把</w:t>
      </w:r>
      <w:r>
        <w:rPr>
          <w:rFonts w:hint="eastAsia"/>
          <w:color w:val="auto"/>
          <w:spacing w:val="0"/>
          <w:kern w:val="0"/>
          <w:sz w:val="32"/>
          <w:szCs w:val="32"/>
          <w:highlight w:val="none"/>
          <w:u w:val="none" w:color="auto"/>
          <w:lang w:val="en-US" w:eastAsia="zh-CN"/>
        </w:rPr>
        <w:t>坚持和加强党的全面领导贯穿政府工作全过程，</w:t>
      </w:r>
      <w:r>
        <w:rPr>
          <w:rFonts w:hint="eastAsia"/>
          <w:strike w:val="0"/>
          <w:dstrike w:val="0"/>
          <w:color w:val="auto"/>
          <w:spacing w:val="0"/>
          <w:kern w:val="0"/>
          <w:sz w:val="32"/>
          <w:szCs w:val="32"/>
          <w:highlight w:val="none"/>
          <w:u w:val="none" w:color="auto"/>
          <w:lang w:val="en-US" w:eastAsia="zh-CN"/>
        </w:rPr>
        <w:t>扎实开展学习贯彻习近平新时代中国特色社会主义思想主题教育、党史学习教育、党纪学习教育、深入贯彻中央八项规定精神学习教育。</w:t>
      </w:r>
      <w:r>
        <w:rPr>
          <w:rFonts w:hint="eastAsia"/>
          <w:color w:val="auto"/>
          <w:spacing w:val="0"/>
          <w:kern w:val="0"/>
          <w:sz w:val="32"/>
          <w:szCs w:val="32"/>
          <w:highlight w:val="none"/>
          <w:u w:val="none" w:color="auto"/>
          <w:lang w:val="en-US" w:eastAsia="zh-CN"/>
        </w:rPr>
        <w:t>严格落实全面从严治党主体责任，</w:t>
      </w:r>
      <w:r>
        <w:rPr>
          <w:rFonts w:hint="eastAsia"/>
          <w:strike w:val="0"/>
          <w:dstrike w:val="0"/>
          <w:color w:val="auto"/>
          <w:spacing w:val="0"/>
          <w:kern w:val="0"/>
          <w:sz w:val="32"/>
          <w:szCs w:val="32"/>
          <w:highlight w:val="none"/>
          <w:u w:val="none" w:color="auto"/>
          <w:lang w:val="en-US" w:eastAsia="zh-CN"/>
        </w:rPr>
        <w:t>认真做好配合省委巡视和审计、统计、生态环保督察等工作。</w:t>
      </w:r>
      <w:r>
        <w:rPr>
          <w:rFonts w:hint="eastAsia"/>
          <w:color w:val="auto"/>
          <w:spacing w:val="0"/>
          <w:kern w:val="0"/>
          <w:sz w:val="32"/>
          <w:szCs w:val="32"/>
          <w:highlight w:val="none"/>
          <w:u w:val="none" w:color="auto"/>
          <w:lang w:val="en-US" w:eastAsia="zh-CN"/>
        </w:rPr>
        <w:t>自觉接受区人大及其常委会依法监督、区政协民主监督，</w:t>
      </w:r>
      <w:r>
        <w:rPr>
          <w:rFonts w:hint="eastAsia"/>
          <w:strike w:val="0"/>
          <w:dstrike w:val="0"/>
          <w:color w:val="auto"/>
          <w:spacing w:val="0"/>
          <w:kern w:val="0"/>
          <w:sz w:val="32"/>
          <w:szCs w:val="32"/>
          <w:highlight w:val="none"/>
          <w:u w:val="none" w:color="auto"/>
          <w:lang w:val="en-US" w:eastAsia="zh-CN"/>
        </w:rPr>
        <w:t>办理人大代表建议273件、政协提案398件，办复率、满意率均达100%。</w:t>
      </w:r>
      <w:r>
        <w:rPr>
          <w:rFonts w:hint="eastAsia"/>
          <w:color w:val="auto"/>
          <w:spacing w:val="0"/>
          <w:kern w:val="0"/>
          <w:sz w:val="32"/>
          <w:szCs w:val="32"/>
          <w:highlight w:val="none"/>
          <w:u w:val="none" w:color="auto"/>
          <w:lang w:val="en-US" w:eastAsia="zh-CN"/>
        </w:rPr>
        <w:t>持续深化法治政府建设，</w:t>
      </w:r>
      <w:r>
        <w:rPr>
          <w:rFonts w:hint="eastAsia"/>
          <w:strike w:val="0"/>
          <w:dstrike w:val="0"/>
          <w:color w:val="auto"/>
          <w:spacing w:val="0"/>
          <w:kern w:val="0"/>
          <w:sz w:val="32"/>
          <w:szCs w:val="32"/>
          <w:highlight w:val="none"/>
          <w:u w:val="none" w:color="auto"/>
          <w:lang w:val="en-US" w:eastAsia="zh-CN"/>
        </w:rPr>
        <w:t>依法行政效能不断提高，主动接受群众监督、舆论监督，政务公开工作全省领先</w:t>
      </w:r>
      <w:r>
        <w:rPr>
          <w:rFonts w:hint="eastAsia"/>
          <w:strike w:val="0"/>
          <w:color w:val="auto"/>
          <w:spacing w:val="0"/>
          <w:kern w:val="0"/>
          <w:sz w:val="32"/>
          <w:szCs w:val="32"/>
          <w:highlight w:val="none"/>
          <w:u w:val="none" w:color="auto"/>
          <w:lang w:val="en-US" w:eastAsia="zh-CN"/>
        </w:rPr>
        <w:t>。</w:t>
      </w:r>
      <w:r>
        <w:rPr>
          <w:rFonts w:hint="eastAsia"/>
          <w:color w:val="auto"/>
          <w:spacing w:val="0"/>
          <w:kern w:val="0"/>
          <w:sz w:val="32"/>
          <w:szCs w:val="32"/>
          <w:highlight w:val="none"/>
          <w:u w:val="none" w:color="auto"/>
          <w:lang w:val="en-US" w:eastAsia="zh-CN"/>
        </w:rPr>
        <w:t>深入开展整治形式主义为基层减负工作，大力整治群众身边不正之风和腐败问题，廉洁政府建设不断走深走实。</w:t>
      </w:r>
    </w:p>
    <w:p w14:paraId="2ED42349">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color w:val="auto"/>
          <w:spacing w:val="0"/>
          <w:kern w:val="0"/>
          <w:sz w:val="32"/>
          <w:szCs w:val="32"/>
          <w:highlight w:val="none"/>
          <w:u w:val="none" w:color="auto"/>
          <w:lang w:val="en-US" w:eastAsia="zh-CN"/>
        </w:rPr>
        <w:t>各位代表，2025年是“十四五”规划的收官之年，也是“十五五”规划的谋划之年。这一年，全区上下“事争一流、唯旗是夺”，统筹推进改革发展稳定各项工作，“新时代的人间仙境”建设步伐更加坚实。</w:t>
      </w:r>
    </w:p>
    <w:p w14:paraId="208FE1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6"/>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过</w:t>
      </w:r>
      <w:r>
        <w:rPr>
          <w:rFonts w:hint="eastAsia" w:ascii="楷体_GB2312" w:hAnsi="楷体_GB2312" w:eastAsia="楷体_GB2312" w:cs="楷体_GB2312"/>
          <w:color w:val="auto"/>
          <w:spacing w:val="-6"/>
          <w:kern w:val="0"/>
          <w:sz w:val="32"/>
          <w:szCs w:val="32"/>
          <w:highlight w:val="none"/>
          <w:u w:val="none" w:color="auto"/>
          <w:lang w:val="en-US" w:eastAsia="zh-CN"/>
        </w:rPr>
        <w:t>去的一年，我们聚力抓经济、稳增长，向好态势持续巩固。</w:t>
      </w:r>
      <w:r>
        <w:rPr>
          <w:rFonts w:hint="eastAsia" w:ascii="黑体" w:hAnsi="黑体" w:eastAsia="黑体" w:cs="黑体"/>
          <w:color w:val="auto"/>
          <w:spacing w:val="0"/>
          <w:kern w:val="0"/>
          <w:sz w:val="32"/>
          <w:szCs w:val="32"/>
          <w:highlight w:val="none"/>
          <w:u w:val="none" w:color="auto"/>
          <w:lang w:val="en-US" w:eastAsia="zh-CN"/>
        </w:rPr>
        <w:t>经济运行稳中有进。</w:t>
      </w:r>
      <w:r>
        <w:rPr>
          <w:rFonts w:hint="eastAsia"/>
          <w:strike w:val="0"/>
          <w:dstrike w:val="0"/>
          <w:color w:val="auto"/>
          <w:spacing w:val="0"/>
          <w:kern w:val="0"/>
          <w:sz w:val="32"/>
          <w:szCs w:val="32"/>
          <w:highlight w:val="none"/>
          <w:u w:val="none" w:color="auto"/>
          <w:lang w:val="en-US" w:eastAsia="zh-CN"/>
        </w:rPr>
        <w:t>始终树牢大抓经济的鲜明导向，经济高质量发展取得新突破。</w:t>
      </w:r>
      <w:r>
        <w:rPr>
          <w:rFonts w:hint="eastAsia"/>
          <w:color w:val="auto"/>
          <w:spacing w:val="0"/>
          <w:kern w:val="0"/>
          <w:sz w:val="32"/>
          <w:szCs w:val="32"/>
          <w:highlight w:val="none"/>
          <w:u w:val="none" w:color="auto"/>
          <w:lang w:val="en-US" w:eastAsia="zh-CN"/>
        </w:rPr>
        <w:t>全年实现地区生产总值增长5.9%，规模以上工业增加值增长15.8%，完成一般公共预算收入40.2亿元，社会消费品零售总额增长6.9%，外资外贸稳量提质，展现出强劲韧性与活力。</w:t>
      </w:r>
      <w:r>
        <w:rPr>
          <w:rFonts w:hint="eastAsia" w:ascii="黑体" w:hAnsi="黑体" w:eastAsia="黑体" w:cs="黑体"/>
          <w:color w:val="auto"/>
          <w:spacing w:val="0"/>
          <w:kern w:val="0"/>
          <w:sz w:val="32"/>
          <w:szCs w:val="32"/>
          <w:highlight w:val="none"/>
          <w:u w:val="none" w:color="auto"/>
          <w:lang w:val="en-US" w:eastAsia="zh-CN"/>
        </w:rPr>
        <w:t>项目引建攻坚突破。</w:t>
      </w:r>
      <w:r>
        <w:rPr>
          <w:rFonts w:hint="eastAsia"/>
          <w:color w:val="auto"/>
          <w:spacing w:val="0"/>
          <w:kern w:val="0"/>
          <w:sz w:val="32"/>
          <w:szCs w:val="32"/>
          <w:highlight w:val="none"/>
          <w:u w:val="none" w:color="auto"/>
          <w:lang w:val="en-US" w:eastAsia="zh-CN"/>
        </w:rPr>
        <w:t>着力扩大有效投资，48个省市区重点建设类项目完成投资139.4亿元、18个项目建成投产，3个项目入选海洋强省建设重点项目，民间投资占比80.1%、全市第一。实施投资500万元以上技改项目50个，工业技改投资增长3.8%。强力突破招商引资，优化招商体制机制，成立招商引资指挥部，按照“三个一、一个三”招商策略，实行“产</w:t>
      </w:r>
      <w:r>
        <w:rPr>
          <w:rFonts w:hint="eastAsia"/>
          <w:color w:val="auto"/>
          <w:spacing w:val="-6"/>
          <w:kern w:val="0"/>
          <w:sz w:val="32"/>
          <w:szCs w:val="32"/>
          <w:highlight w:val="none"/>
          <w:u w:val="none" w:color="auto"/>
          <w:lang w:val="en-US" w:eastAsia="zh-CN"/>
        </w:rPr>
        <w:t>业链图谱+目标企业清单+专业招商专班”作战模式，跟踪对接超200条有效项目线索，新签约过亿元项目16个、总投资97.6亿元，积蓄了更足的发展后劲。</w:t>
      </w:r>
      <w:r>
        <w:rPr>
          <w:rFonts w:hint="eastAsia" w:ascii="黑体" w:hAnsi="黑体" w:eastAsia="黑体" w:cs="黑体"/>
          <w:color w:val="auto"/>
          <w:spacing w:val="-6"/>
          <w:kern w:val="0"/>
          <w:sz w:val="32"/>
          <w:szCs w:val="32"/>
          <w:highlight w:val="none"/>
          <w:u w:val="none" w:color="auto"/>
          <w:lang w:val="en-US" w:eastAsia="zh-CN"/>
        </w:rPr>
        <w:t>提振消费扎实有力。</w:t>
      </w:r>
      <w:r>
        <w:rPr>
          <w:rFonts w:hint="eastAsia"/>
          <w:color w:val="auto"/>
          <w:spacing w:val="-6"/>
          <w:kern w:val="0"/>
          <w:sz w:val="32"/>
          <w:szCs w:val="32"/>
          <w:highlight w:val="none"/>
          <w:u w:val="none" w:color="auto"/>
          <w:lang w:val="en-US" w:eastAsia="zh-CN"/>
        </w:rPr>
        <w:t>加力实施以</w:t>
      </w:r>
      <w:r>
        <w:rPr>
          <w:rFonts w:hint="eastAsia"/>
          <w:snapToGrid w:val="0"/>
          <w:color w:val="auto"/>
          <w:spacing w:val="-6"/>
          <w:kern w:val="0"/>
          <w:sz w:val="32"/>
          <w:szCs w:val="32"/>
          <w:highlight w:val="none"/>
          <w:u w:val="none" w:color="auto"/>
          <w:lang w:val="en-US" w:eastAsia="zh-CN"/>
        </w:rPr>
        <w:t>旧换新，发放补贴3500万元，举办线上线下促消费活动超80场，拉动消费4.3亿元，网络零售额同比增长38%。积极落实烟台市房地产市场稳健发展政策措施，</w:t>
      </w:r>
      <w:r>
        <w:rPr>
          <w:rFonts w:hint="eastAsia"/>
          <w:strike w:val="0"/>
          <w:dstrike w:val="0"/>
          <w:snapToGrid w:val="0"/>
          <w:color w:val="auto"/>
          <w:spacing w:val="-6"/>
          <w:kern w:val="0"/>
          <w:sz w:val="32"/>
          <w:szCs w:val="32"/>
          <w:highlight w:val="none"/>
          <w:u w:val="none" w:color="auto"/>
          <w:lang w:val="en-US" w:eastAsia="zh-CN"/>
        </w:rPr>
        <w:t>加大“好房子”供给，</w:t>
      </w:r>
      <w:r>
        <w:rPr>
          <w:rFonts w:hint="eastAsia"/>
          <w:snapToGrid w:val="0"/>
          <w:color w:val="auto"/>
          <w:spacing w:val="-6"/>
          <w:kern w:val="0"/>
          <w:sz w:val="32"/>
          <w:szCs w:val="32"/>
          <w:highlight w:val="none"/>
          <w:u w:val="none" w:color="auto"/>
          <w:lang w:val="en-US" w:eastAsia="zh-CN"/>
        </w:rPr>
        <w:t>2个项目入选市级高品质住宅。文旅驱动力更加充沛，以争创具有国际影响力的旅游度假区为抓手，以创促建、以建提质，成功举办旅游发展大会，蓬莱阁大景区建设实现场景焕新、产品上新、设施更新，“蓬莱湾”联票销售突破5万张，“好客山东·半岛1号”全省首航，系列扩容提质措施形成带动效应，全年接待游客突破1500万人次、实现旅游综合收入120亿元，同比分别增长7.9%、7.1%。</w:t>
      </w:r>
    </w:p>
    <w:p w14:paraId="39450A00">
      <w:pPr>
        <w:keepNext w:val="0"/>
        <w:keepLines w:val="0"/>
        <w:pageBreakBefore w:val="0"/>
        <w:widowControl w:val="0"/>
        <w:kinsoku/>
        <w:wordWrap/>
        <w:overflowPunct/>
        <w:topLinePunct w:val="0"/>
        <w:autoSpaceDE/>
        <w:autoSpaceDN/>
        <w:bidi w:val="0"/>
        <w:adjustRightInd/>
        <w:snapToGrid/>
        <w:spacing w:line="540" w:lineRule="exact"/>
        <w:ind w:left="0" w:leftChars="0" w:firstLine="596"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11"/>
          <w:kern w:val="0"/>
          <w:sz w:val="32"/>
          <w:szCs w:val="32"/>
          <w:highlight w:val="none"/>
          <w:u w:val="none" w:color="auto"/>
          <w:lang w:val="en-US" w:eastAsia="zh-CN"/>
        </w:rPr>
        <w:t>过</w:t>
      </w:r>
      <w:r>
        <w:rPr>
          <w:rFonts w:hint="eastAsia" w:ascii="楷体_GB2312" w:hAnsi="楷体_GB2312" w:eastAsia="楷体_GB2312" w:cs="楷体_GB2312"/>
          <w:color w:val="auto"/>
          <w:spacing w:val="-17"/>
          <w:kern w:val="0"/>
          <w:sz w:val="32"/>
          <w:szCs w:val="32"/>
          <w:highlight w:val="none"/>
          <w:u w:val="none" w:color="auto"/>
          <w:lang w:val="en-US" w:eastAsia="zh-CN"/>
        </w:rPr>
        <w:t>去的一年，我们聚力强实体、促转型，新旧动能转换步伐加快。</w:t>
      </w:r>
      <w:r>
        <w:rPr>
          <w:rFonts w:hint="eastAsia" w:ascii="黑体" w:hAnsi="黑体" w:eastAsia="黑体" w:cs="黑体"/>
          <w:color w:val="auto"/>
          <w:spacing w:val="0"/>
          <w:kern w:val="0"/>
          <w:sz w:val="32"/>
          <w:szCs w:val="32"/>
          <w:highlight w:val="none"/>
          <w:u w:val="none" w:color="auto"/>
          <w:lang w:val="en-US" w:eastAsia="zh-CN"/>
        </w:rPr>
        <w:t>园区建设成效彰显。</w:t>
      </w:r>
      <w:bookmarkStart w:id="0" w:name="OLE_LINK1"/>
      <w:r>
        <w:rPr>
          <w:rFonts w:hint="eastAsia"/>
          <w:color w:val="auto"/>
          <w:spacing w:val="0"/>
          <w:kern w:val="0"/>
          <w:sz w:val="32"/>
          <w:szCs w:val="32"/>
          <w:highlight w:val="none"/>
          <w:u w:val="none" w:color="auto"/>
          <w:lang w:val="en-US" w:eastAsia="zh-CN"/>
        </w:rPr>
        <w:t>万华新材料低碳产业园扩产增效，万华一期产能持续释放，</w:t>
      </w:r>
      <w:bookmarkEnd w:id="0"/>
      <w:r>
        <w:rPr>
          <w:rFonts w:hint="eastAsia"/>
          <w:color w:val="auto"/>
          <w:spacing w:val="0"/>
          <w:kern w:val="0"/>
          <w:sz w:val="32"/>
          <w:szCs w:val="32"/>
          <w:highlight w:val="none"/>
          <w:u w:val="none" w:color="auto"/>
          <w:lang w:val="en-US" w:eastAsia="zh-CN"/>
        </w:rPr>
        <w:t>实现产值110亿元、拉动规上工业增加值增长27%；万华产业链上下游项目快速推进，万润一期、中科示范园顺利试生产，富海新材竣工验收，加夫德锂电池、光学特种材料等项目签约落地，2025年园区实现产值130亿元、同比增长200%。海工装备产业园，重点企业新签订单总额超200亿元，上海锅炉厂高端装备制造基地、韩国现代冰轮重工一期项目仅用10个月建成投产，全球最大1050吨高压反应釜顺利下线，重达1035吨的国内首台套整体组装式锅炉成功出运，京鲁船业问鼎“国家级制造业单项冠军”，2025年园区实现产值185亿元、同比增长5.7%。</w:t>
      </w:r>
      <w:r>
        <w:rPr>
          <w:rFonts w:hint="eastAsia" w:ascii="黑体" w:hAnsi="黑体" w:eastAsia="黑体" w:cs="黑体"/>
          <w:color w:val="auto"/>
          <w:spacing w:val="0"/>
          <w:kern w:val="0"/>
          <w:sz w:val="32"/>
          <w:szCs w:val="32"/>
          <w:highlight w:val="none"/>
          <w:u w:val="none" w:color="auto"/>
          <w:lang w:val="en-US" w:eastAsia="zh-CN"/>
        </w:rPr>
        <w:t>创新活力持续迸发。</w:t>
      </w:r>
      <w:r>
        <w:rPr>
          <w:rFonts w:hint="eastAsia" w:ascii="仿宋_GB2312" w:hAnsi="仿宋_GB2312" w:eastAsia="仿宋_GB2312" w:cs="仿宋_GB2312"/>
          <w:strike w:val="0"/>
          <w:dstrike w:val="0"/>
          <w:color w:val="auto"/>
          <w:spacing w:val="0"/>
          <w:kern w:val="0"/>
          <w:sz w:val="32"/>
          <w:szCs w:val="32"/>
          <w:highlight w:val="none"/>
          <w:u w:val="none" w:color="auto"/>
          <w:lang w:val="en-US" w:eastAsia="zh-CN"/>
        </w:rPr>
        <w:t>推动产业链创新链深度融合，</w:t>
      </w:r>
      <w:r>
        <w:rPr>
          <w:rFonts w:hint="eastAsia" w:cs="仿宋_GB2312"/>
          <w:strike w:val="0"/>
          <w:dstrike w:val="0"/>
          <w:color w:val="auto"/>
          <w:spacing w:val="0"/>
          <w:kern w:val="0"/>
          <w:sz w:val="32"/>
          <w:szCs w:val="32"/>
          <w:highlight w:val="none"/>
          <w:u w:val="none" w:color="auto"/>
          <w:lang w:val="en-US" w:eastAsia="zh-CN"/>
        </w:rPr>
        <w:t>规上企业完成研发投入近9亿元、同比增长11%。</w:t>
      </w:r>
      <w:r>
        <w:rPr>
          <w:rFonts w:hint="eastAsia" w:cs="仿宋_GB2312"/>
          <w:color w:val="auto"/>
          <w:spacing w:val="0"/>
          <w:kern w:val="0"/>
          <w:sz w:val="32"/>
          <w:szCs w:val="32"/>
          <w:highlight w:val="none"/>
          <w:u w:val="none" w:color="auto"/>
          <w:lang w:val="en-US" w:eastAsia="zh-CN"/>
        </w:rPr>
        <w:t>新认定国家级重点“小巨人”、山东省“专精特新”、创新型中小企业68家，新认定国家高新技术企业6家。新增市级以上科技创新平台3个，</w:t>
      </w:r>
      <w:r>
        <w:rPr>
          <w:rFonts w:hint="eastAsia" w:ascii="仿宋_GB2312" w:hAnsi="仿宋_GB2312" w:eastAsia="仿宋_GB2312" w:cs="仿宋_GB2312"/>
          <w:color w:val="auto"/>
          <w:spacing w:val="0"/>
          <w:kern w:val="0"/>
          <w:sz w:val="32"/>
          <w:szCs w:val="32"/>
          <w:highlight w:val="none"/>
          <w:u w:val="none" w:color="auto"/>
          <w:lang w:val="en-US" w:eastAsia="zh-CN"/>
        </w:rPr>
        <w:t>哈工程、中船科技等高水平成果转化平台签约落地</w:t>
      </w:r>
      <w:r>
        <w:rPr>
          <w:rFonts w:hint="eastAsia" w:cs="仿宋_GB2312"/>
          <w:color w:val="auto"/>
          <w:spacing w:val="0"/>
          <w:kern w:val="0"/>
          <w:sz w:val="32"/>
          <w:szCs w:val="32"/>
          <w:highlight w:val="none"/>
          <w:u w:val="none" w:color="auto"/>
          <w:lang w:val="en-US" w:eastAsia="zh-CN"/>
        </w:rPr>
        <w:t>。授权发明专利176件，有效发明累计921件、增长18.5%。</w:t>
      </w:r>
      <w:r>
        <w:rPr>
          <w:rFonts w:hint="eastAsia" w:ascii="黑体" w:hAnsi="黑体" w:eastAsia="黑体" w:cs="黑体"/>
          <w:color w:val="auto"/>
          <w:spacing w:val="0"/>
          <w:kern w:val="0"/>
          <w:sz w:val="32"/>
          <w:szCs w:val="32"/>
          <w:highlight w:val="none"/>
          <w:u w:val="none" w:color="auto"/>
          <w:lang w:val="en-US" w:eastAsia="zh-CN"/>
        </w:rPr>
        <w:t>要素保障精准有力。</w:t>
      </w:r>
      <w:r>
        <w:rPr>
          <w:rFonts w:hint="eastAsia"/>
          <w:strike w:val="0"/>
          <w:dstrike w:val="0"/>
          <w:color w:val="auto"/>
          <w:spacing w:val="0"/>
          <w:kern w:val="0"/>
          <w:sz w:val="32"/>
          <w:szCs w:val="32"/>
          <w:highlight w:val="none"/>
          <w:u w:val="none" w:color="auto"/>
          <w:lang w:val="en-US" w:eastAsia="zh-CN"/>
        </w:rPr>
        <w:t>用好用足各级一揽子增量政策，</w:t>
      </w:r>
      <w:r>
        <w:rPr>
          <w:rFonts w:hint="eastAsia"/>
          <w:color w:val="auto"/>
          <w:spacing w:val="0"/>
          <w:kern w:val="0"/>
          <w:sz w:val="32"/>
          <w:szCs w:val="32"/>
          <w:highlight w:val="none"/>
          <w:u w:val="none" w:color="auto"/>
          <w:lang w:val="en-US" w:eastAsia="zh-CN"/>
        </w:rPr>
        <w:t>争取政策项目574个、资金17.5亿元，同比分别增长4.6%、25%。解决企业重点发展问题155个，落实减税降费13.2亿元，新增市场主体3907户，14户倍增企业完成产值190亿元、同比增长13.7%，</w:t>
      </w:r>
      <w:r>
        <w:rPr>
          <w:rFonts w:hint="eastAsia"/>
          <w:strike w:val="0"/>
          <w:dstrike w:val="0"/>
          <w:color w:val="auto"/>
          <w:spacing w:val="0"/>
          <w:kern w:val="0"/>
          <w:sz w:val="32"/>
          <w:szCs w:val="32"/>
          <w:highlight w:val="none"/>
          <w:u w:val="none" w:color="auto"/>
          <w:lang w:val="en-US" w:eastAsia="zh-CN"/>
        </w:rPr>
        <w:t>有力提振市场主体发展信心。强化工业用地全链条管理，</w:t>
      </w:r>
      <w:r>
        <w:rPr>
          <w:rFonts w:hint="eastAsia"/>
          <w:color w:val="auto"/>
          <w:spacing w:val="0"/>
          <w:kern w:val="0"/>
          <w:sz w:val="32"/>
          <w:szCs w:val="32"/>
          <w:highlight w:val="none"/>
          <w:u w:val="none" w:color="auto"/>
          <w:lang w:val="en-US" w:eastAsia="zh-CN"/>
        </w:rPr>
        <w:t>新增建设用地626亩，工业供地763亩，完成批而未供处置1433亩、闲置土地处置371亩，有效保障企业和项目用地需求。</w:t>
      </w:r>
    </w:p>
    <w:p w14:paraId="232BB16F">
      <w:pPr>
        <w:keepNext w:val="0"/>
        <w:keepLines w:val="0"/>
        <w:pageBreakBefore w:val="0"/>
        <w:widowControl w:val="0"/>
        <w:kinsoku/>
        <w:wordWrap/>
        <w:overflowPunct/>
        <w:topLinePunct w:val="0"/>
        <w:autoSpaceDE/>
        <w:autoSpaceDN/>
        <w:bidi w:val="0"/>
        <w:adjustRightInd/>
        <w:snapToGrid/>
        <w:spacing w:line="568" w:lineRule="exact"/>
        <w:ind w:left="0" w:leftChars="0" w:firstLine="616" w:firstLineChars="200"/>
        <w:textAlignment w:val="auto"/>
        <w:rPr>
          <w:rFonts w:hint="eastAsia" w:cs="仿宋_GB2312"/>
          <w:color w:val="auto"/>
          <w:spacing w:val="-6"/>
          <w:kern w:val="0"/>
          <w:sz w:val="32"/>
          <w:szCs w:val="32"/>
          <w:highlight w:val="none"/>
          <w:u w:val="none" w:color="auto"/>
          <w:lang w:val="en-US" w:eastAsia="zh-CN"/>
        </w:rPr>
      </w:pPr>
      <w:r>
        <w:rPr>
          <w:rFonts w:hint="eastAsia" w:ascii="楷体_GB2312" w:hAnsi="楷体_GB2312" w:eastAsia="楷体_GB2312" w:cs="楷体_GB2312"/>
          <w:color w:val="auto"/>
          <w:spacing w:val="-6"/>
          <w:kern w:val="0"/>
          <w:sz w:val="32"/>
          <w:szCs w:val="32"/>
          <w:highlight w:val="none"/>
          <w:u w:val="none" w:color="auto"/>
          <w:lang w:val="en-US" w:eastAsia="zh-CN"/>
        </w:rPr>
        <w:t>过去的一年，我们聚力抓改革、促开放，发展潜能有效释放。</w:t>
      </w:r>
      <w:r>
        <w:rPr>
          <w:rFonts w:hint="eastAsia" w:ascii="黑体" w:hAnsi="黑体" w:eastAsia="黑体" w:cs="黑体"/>
          <w:color w:val="auto"/>
          <w:spacing w:val="-6"/>
          <w:kern w:val="0"/>
          <w:sz w:val="32"/>
          <w:szCs w:val="32"/>
          <w:highlight w:val="none"/>
          <w:u w:val="none" w:color="auto"/>
          <w:lang w:val="en-US" w:eastAsia="zh-CN"/>
        </w:rPr>
        <w:t>重点改革深入推进。</w:t>
      </w:r>
      <w:r>
        <w:rPr>
          <w:rFonts w:hint="eastAsia" w:cs="仿宋_GB2312"/>
          <w:color w:val="auto"/>
          <w:spacing w:val="-6"/>
          <w:kern w:val="0"/>
          <w:sz w:val="32"/>
          <w:szCs w:val="32"/>
          <w:highlight w:val="none"/>
          <w:u w:val="none" w:color="auto"/>
          <w:lang w:val="en-US" w:eastAsia="zh-CN"/>
        </w:rPr>
        <w:t>高质量编制镇街履职事项清单。</w:t>
      </w:r>
      <w:r>
        <w:rPr>
          <w:rFonts w:hint="eastAsia" w:ascii="仿宋_GB2312" w:hAnsi="仿宋_GB2312" w:eastAsia="仿宋_GB2312" w:cs="仿宋_GB2312"/>
          <w:color w:val="auto"/>
          <w:spacing w:val="-6"/>
          <w:kern w:val="0"/>
          <w:sz w:val="32"/>
          <w:szCs w:val="32"/>
          <w:highlight w:val="none"/>
          <w:u w:val="none" w:color="auto"/>
          <w:lang w:val="en-US" w:eastAsia="zh-CN"/>
        </w:rPr>
        <w:t>争取</w:t>
      </w:r>
      <w:r>
        <w:rPr>
          <w:rFonts w:hint="eastAsia" w:cs="仿宋_GB2312"/>
          <w:color w:val="auto"/>
          <w:spacing w:val="-6"/>
          <w:kern w:val="0"/>
          <w:sz w:val="32"/>
          <w:szCs w:val="32"/>
          <w:highlight w:val="none"/>
          <w:u w:val="none" w:color="auto"/>
          <w:lang w:val="en-US" w:eastAsia="zh-CN"/>
        </w:rPr>
        <w:t>省</w:t>
      </w:r>
      <w:r>
        <w:rPr>
          <w:rFonts w:hint="eastAsia" w:ascii="仿宋_GB2312" w:hAnsi="仿宋_GB2312" w:eastAsia="仿宋_GB2312" w:cs="仿宋_GB2312"/>
          <w:color w:val="auto"/>
          <w:spacing w:val="-6"/>
          <w:kern w:val="0"/>
          <w:sz w:val="32"/>
          <w:szCs w:val="32"/>
          <w:highlight w:val="none"/>
          <w:u w:val="none" w:color="auto"/>
          <w:lang w:val="en-US" w:eastAsia="zh-CN"/>
        </w:rPr>
        <w:t>级以上改革试点</w:t>
      </w:r>
      <w:r>
        <w:rPr>
          <w:rFonts w:hint="eastAsia" w:cs="仿宋_GB2312"/>
          <w:color w:val="auto"/>
          <w:spacing w:val="-6"/>
          <w:kern w:val="0"/>
          <w:sz w:val="32"/>
          <w:szCs w:val="32"/>
          <w:highlight w:val="none"/>
          <w:u w:val="none" w:color="auto"/>
          <w:lang w:val="en-US" w:eastAsia="zh-CN"/>
        </w:rPr>
        <w:t>20</w:t>
      </w:r>
      <w:r>
        <w:rPr>
          <w:rFonts w:hint="eastAsia" w:ascii="仿宋_GB2312" w:hAnsi="仿宋_GB2312" w:eastAsia="仿宋_GB2312" w:cs="仿宋_GB2312"/>
          <w:color w:val="auto"/>
          <w:spacing w:val="-6"/>
          <w:kern w:val="0"/>
          <w:sz w:val="32"/>
          <w:szCs w:val="32"/>
          <w:highlight w:val="none"/>
          <w:u w:val="none" w:color="auto"/>
          <w:lang w:val="en-US" w:eastAsia="zh-CN"/>
        </w:rPr>
        <w:t>个</w:t>
      </w:r>
      <w:r>
        <w:rPr>
          <w:rFonts w:hint="eastAsia" w:cs="仿宋_GB2312"/>
          <w:color w:val="auto"/>
          <w:spacing w:val="-6"/>
          <w:kern w:val="0"/>
          <w:sz w:val="32"/>
          <w:szCs w:val="32"/>
          <w:highlight w:val="none"/>
          <w:u w:val="none" w:color="auto"/>
          <w:lang w:val="en-US" w:eastAsia="zh-CN"/>
        </w:rPr>
        <w:t>，率先</w:t>
      </w:r>
      <w:r>
        <w:rPr>
          <w:rFonts w:hint="eastAsia" w:ascii="仿宋_GB2312" w:hAnsi="仿宋_GB2312" w:eastAsia="仿宋_GB2312" w:cs="仿宋_GB2312"/>
          <w:color w:val="auto"/>
          <w:spacing w:val="-6"/>
          <w:kern w:val="0"/>
          <w:sz w:val="32"/>
          <w:szCs w:val="32"/>
          <w:highlight w:val="none"/>
          <w:u w:val="none" w:color="auto"/>
          <w:lang w:val="en-US" w:eastAsia="zh-CN"/>
        </w:rPr>
        <w:t>颁发全国县市区</w:t>
      </w:r>
      <w:r>
        <w:rPr>
          <w:rFonts w:hint="eastAsia" w:cs="仿宋_GB2312"/>
          <w:color w:val="auto"/>
          <w:spacing w:val="-6"/>
          <w:kern w:val="0"/>
          <w:sz w:val="32"/>
          <w:szCs w:val="32"/>
          <w:highlight w:val="none"/>
          <w:u w:val="none" w:color="auto"/>
          <w:lang w:val="en-US" w:eastAsia="zh-CN"/>
        </w:rPr>
        <w:t>“</w:t>
      </w:r>
      <w:r>
        <w:rPr>
          <w:rFonts w:hint="eastAsia" w:ascii="仿宋_GB2312" w:hAnsi="仿宋_GB2312" w:eastAsia="仿宋_GB2312" w:cs="仿宋_GB2312"/>
          <w:color w:val="auto"/>
          <w:spacing w:val="-6"/>
          <w:kern w:val="0"/>
          <w:sz w:val="32"/>
          <w:szCs w:val="32"/>
          <w:highlight w:val="none"/>
          <w:u w:val="none" w:color="auto"/>
          <w:lang w:val="en-US" w:eastAsia="zh-CN"/>
        </w:rPr>
        <w:t>数据资源登记证书</w:t>
      </w:r>
      <w:r>
        <w:rPr>
          <w:rFonts w:hint="eastAsia" w:cs="仿宋_GB2312"/>
          <w:color w:val="auto"/>
          <w:spacing w:val="-6"/>
          <w:kern w:val="0"/>
          <w:sz w:val="32"/>
          <w:szCs w:val="32"/>
          <w:highlight w:val="none"/>
          <w:u w:val="none" w:color="auto"/>
          <w:lang w:val="en-US" w:eastAsia="zh-CN"/>
        </w:rPr>
        <w:t>”</w:t>
      </w:r>
      <w:r>
        <w:rPr>
          <w:rFonts w:hint="eastAsia" w:ascii="仿宋_GB2312" w:hAnsi="仿宋_GB2312" w:eastAsia="仿宋_GB2312" w:cs="仿宋_GB2312"/>
          <w:color w:val="auto"/>
          <w:spacing w:val="-6"/>
          <w:kern w:val="0"/>
          <w:sz w:val="32"/>
          <w:szCs w:val="32"/>
          <w:highlight w:val="none"/>
          <w:u w:val="none" w:color="auto"/>
          <w:lang w:val="en-US" w:eastAsia="zh-CN"/>
        </w:rPr>
        <w:t>，</w:t>
      </w:r>
      <w:r>
        <w:rPr>
          <w:rFonts w:hint="eastAsia" w:cs="仿宋_GB2312"/>
          <w:color w:val="auto"/>
          <w:spacing w:val="-6"/>
          <w:kern w:val="0"/>
          <w:sz w:val="32"/>
          <w:szCs w:val="32"/>
          <w:highlight w:val="none"/>
          <w:u w:val="none" w:color="auto"/>
          <w:lang w:val="en-US" w:eastAsia="zh-CN"/>
        </w:rPr>
        <w:t>“</w:t>
      </w:r>
      <w:r>
        <w:rPr>
          <w:rFonts w:hint="eastAsia" w:ascii="仿宋_GB2312" w:hAnsi="仿宋_GB2312" w:eastAsia="仿宋_GB2312" w:cs="仿宋_GB2312"/>
          <w:color w:val="auto"/>
          <w:spacing w:val="-6"/>
          <w:kern w:val="0"/>
          <w:sz w:val="32"/>
          <w:szCs w:val="32"/>
          <w:highlight w:val="none"/>
          <w:u w:val="none" w:color="auto"/>
          <w:lang w:val="en-US" w:eastAsia="zh-CN"/>
        </w:rPr>
        <w:t>高效验收一件事”通过全省“揭榜挂帅”验收，获评山东省城市小微公共空间整治提升试点城市，成功创建省</w:t>
      </w:r>
      <w:r>
        <w:rPr>
          <w:rFonts w:hint="eastAsia" w:cs="仿宋_GB2312"/>
          <w:color w:val="auto"/>
          <w:spacing w:val="-6"/>
          <w:kern w:val="0"/>
          <w:sz w:val="32"/>
          <w:szCs w:val="32"/>
          <w:highlight w:val="none"/>
          <w:u w:val="none" w:color="auto"/>
          <w:lang w:val="en-US" w:eastAsia="zh-CN"/>
        </w:rPr>
        <w:t>级</w:t>
      </w:r>
      <w:r>
        <w:rPr>
          <w:rFonts w:hint="eastAsia" w:ascii="仿宋_GB2312" w:hAnsi="仿宋_GB2312" w:eastAsia="仿宋_GB2312" w:cs="仿宋_GB2312"/>
          <w:color w:val="auto"/>
          <w:spacing w:val="-6"/>
          <w:kern w:val="0"/>
          <w:sz w:val="32"/>
          <w:szCs w:val="32"/>
          <w:highlight w:val="none"/>
          <w:u w:val="none" w:color="auto"/>
          <w:lang w:val="en-US" w:eastAsia="zh-CN"/>
        </w:rPr>
        <w:t>绿色种养循环农业项目试点</w:t>
      </w:r>
      <w:r>
        <w:rPr>
          <w:rFonts w:hint="eastAsia" w:cs="仿宋_GB2312"/>
          <w:color w:val="auto"/>
          <w:spacing w:val="-6"/>
          <w:kern w:val="0"/>
          <w:sz w:val="32"/>
          <w:szCs w:val="32"/>
          <w:highlight w:val="none"/>
          <w:u w:val="none" w:color="auto"/>
          <w:lang w:val="en-US" w:eastAsia="zh-CN"/>
        </w:rPr>
        <w:t>。国资国企改革扎实推进，出台《区属企业主责主业管理办法》，新增1家AA+级国企主体，稳步推进国企运营管理规范化和市场化转型。</w:t>
      </w:r>
      <w:r>
        <w:rPr>
          <w:rFonts w:hint="eastAsia" w:ascii="黑体" w:hAnsi="黑体" w:eastAsia="黑体" w:cs="黑体"/>
          <w:color w:val="auto"/>
          <w:spacing w:val="-6"/>
          <w:kern w:val="0"/>
          <w:sz w:val="32"/>
          <w:szCs w:val="32"/>
          <w:highlight w:val="none"/>
          <w:u w:val="none" w:color="auto"/>
          <w:lang w:val="en-US" w:eastAsia="zh-CN"/>
        </w:rPr>
        <w:t>开放合作不断深化。</w:t>
      </w:r>
      <w:r>
        <w:rPr>
          <w:rFonts w:hint="eastAsia" w:cs="仿宋_GB2312"/>
          <w:color w:val="auto"/>
          <w:spacing w:val="-6"/>
          <w:kern w:val="0"/>
          <w:sz w:val="32"/>
          <w:szCs w:val="32"/>
          <w:highlight w:val="none"/>
          <w:u w:val="none" w:color="auto"/>
          <w:lang w:val="en-US" w:eastAsia="zh-CN"/>
        </w:rPr>
        <w:t>高铁站完成旅客发送量150万人次，荣乌高速机场至蓬莱段改扩建建成通车，蓬莱东港区等一批重大项目积极推进，港口货物吞吐量突破2570万吨，开放融合的区位优势更加凸显。组织企业参加境内外展会31场，大金重工与欧洲企业签订10亿元超大型单桩订单，京鲁船业结关出口19艘大型船舶，万华投产后当年实现进出口12亿元。成功举办2025葡萄酒旅游大会等重要活动，获评“全球杰出海岸葡萄酒旅游目的地”</w:t>
      </w:r>
      <w:r>
        <w:rPr>
          <w:rFonts w:hint="eastAsia" w:cs="仿宋_GB2312"/>
          <w:strike w:val="0"/>
          <w:dstrike w:val="0"/>
          <w:color w:val="auto"/>
          <w:spacing w:val="-6"/>
          <w:kern w:val="0"/>
          <w:sz w:val="32"/>
          <w:szCs w:val="32"/>
          <w:highlight w:val="none"/>
          <w:u w:val="none" w:color="auto"/>
          <w:lang w:val="en-US" w:eastAsia="zh-CN"/>
        </w:rPr>
        <w:t>，对外知名度、城市影响力不断增强。</w:t>
      </w:r>
      <w:r>
        <w:rPr>
          <w:rFonts w:hint="eastAsia" w:ascii="黑体" w:hAnsi="黑体" w:eastAsia="黑体" w:cs="黑体"/>
          <w:color w:val="auto"/>
          <w:spacing w:val="-6"/>
          <w:kern w:val="0"/>
          <w:sz w:val="32"/>
          <w:szCs w:val="32"/>
          <w:highlight w:val="none"/>
          <w:u w:val="none" w:color="auto"/>
          <w:lang w:val="en-US" w:eastAsia="zh-CN"/>
        </w:rPr>
        <w:t>营商环境提档提优。</w:t>
      </w:r>
      <w:r>
        <w:rPr>
          <w:rFonts w:hint="eastAsia" w:cs="仿宋_GB2312"/>
          <w:color w:val="auto"/>
          <w:spacing w:val="-6"/>
          <w:kern w:val="0"/>
          <w:sz w:val="32"/>
          <w:szCs w:val="32"/>
          <w:highlight w:val="none"/>
          <w:u w:val="none" w:color="auto"/>
          <w:lang w:val="en-US" w:eastAsia="zh-CN"/>
        </w:rPr>
        <w:t>6个方面101项优化营商环境举措全面落实，线下“一窗受理”、线上“一网通办”事项分别达757个、1627个，办结“拿地即开工”项目2个。上线“高效办成一件事”主题事项41个，“一窗受理”申报材料减免83%，探索推出21个事项“信即办”极速审批新模式。扎实开展公平竞争审查工作，深入推行包容审慎监管，全力创造更加公平、更有活力的市场环境。深入实施融资畅通工程，开展各类型</w:t>
      </w:r>
      <w:r>
        <w:rPr>
          <w:rFonts w:hint="eastAsia" w:cs="仿宋_GB2312"/>
          <w:color w:val="auto"/>
          <w:spacing w:val="-6"/>
          <w:kern w:val="0"/>
          <w:sz w:val="32"/>
          <w:szCs w:val="32"/>
          <w:highlight w:val="none"/>
          <w:u w:val="none" w:color="auto"/>
          <w:shd w:val="clear" w:color="auto" w:fill="auto"/>
          <w:lang w:val="en-US" w:eastAsia="zh-CN"/>
        </w:rPr>
        <w:t>政银企对接系列活动10余场，小微企业新增融资47.5亿元、增长17.6%。</w:t>
      </w:r>
    </w:p>
    <w:p w14:paraId="4E65BE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s="仿宋_GB2312"/>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过</w:t>
      </w:r>
      <w:r>
        <w:rPr>
          <w:rFonts w:hint="eastAsia" w:ascii="楷体_GB2312" w:hAnsi="楷体_GB2312" w:eastAsia="楷体_GB2312" w:cs="楷体_GB2312"/>
          <w:color w:val="auto"/>
          <w:spacing w:val="-6"/>
          <w:kern w:val="0"/>
          <w:sz w:val="32"/>
          <w:szCs w:val="32"/>
          <w:highlight w:val="none"/>
          <w:u w:val="none" w:color="auto"/>
          <w:lang w:val="en-US" w:eastAsia="zh-CN"/>
        </w:rPr>
        <w:t>去的一年，我们聚力优品质、提能级，城乡面貌更加靓丽。</w:t>
      </w:r>
      <w:r>
        <w:rPr>
          <w:rFonts w:hint="eastAsia" w:ascii="黑体" w:hAnsi="黑体" w:eastAsia="黑体" w:cs="黑体"/>
          <w:color w:val="auto"/>
          <w:spacing w:val="0"/>
          <w:kern w:val="0"/>
          <w:sz w:val="32"/>
          <w:szCs w:val="32"/>
          <w:highlight w:val="none"/>
          <w:u w:val="none" w:color="auto"/>
          <w:lang w:val="en-US" w:eastAsia="zh-CN"/>
        </w:rPr>
        <w:t>城市生活更加舒适。</w:t>
      </w:r>
      <w:r>
        <w:rPr>
          <w:rFonts w:hint="eastAsia" w:cs="仿宋_GB2312"/>
          <w:color w:val="auto"/>
          <w:spacing w:val="0"/>
          <w:kern w:val="0"/>
          <w:sz w:val="32"/>
          <w:szCs w:val="32"/>
          <w:highlight w:val="none"/>
          <w:u w:val="none" w:color="auto"/>
          <w:lang w:val="en-US" w:eastAsia="zh-CN"/>
        </w:rPr>
        <w:t>国土空间分区规划获批，高标准完成城市体</w:t>
      </w:r>
      <w:r>
        <w:rPr>
          <w:rFonts w:hint="eastAsia" w:cs="仿宋_GB2312"/>
          <w:color w:val="auto"/>
          <w:spacing w:val="-6"/>
          <w:kern w:val="0"/>
          <w:sz w:val="32"/>
          <w:szCs w:val="32"/>
          <w:highlight w:val="none"/>
          <w:u w:val="none" w:color="auto"/>
          <w:lang w:val="en-US" w:eastAsia="zh-CN"/>
        </w:rPr>
        <w:t>检，启动3个高品质住宅建设，登州东路等4条道路完成改造提升，</w:t>
      </w:r>
      <w:r>
        <w:rPr>
          <w:rFonts w:hint="eastAsia" w:cs="仿宋_GB2312"/>
          <w:color w:val="auto"/>
          <w:spacing w:val="0"/>
          <w:kern w:val="0"/>
          <w:sz w:val="32"/>
          <w:szCs w:val="32"/>
          <w:highlight w:val="none"/>
          <w:u w:val="none" w:color="auto"/>
          <w:lang w:val="en-US" w:eastAsia="zh-CN"/>
        </w:rPr>
        <w:t>画河全线精致提升工程扎实推进。升级智慧路灯2.1万盏，更新燃气管网4.2公里，25个非直供电小区完成供电改造，新增停车位260个、充电桩230个。城市管理更加精细，</w:t>
      </w:r>
      <w:r>
        <w:rPr>
          <w:rFonts w:hint="eastAsia" w:cs="仿宋_GB2312"/>
          <w:b w:val="0"/>
          <w:bCs w:val="0"/>
          <w:color w:val="auto"/>
          <w:spacing w:val="0"/>
          <w:kern w:val="0"/>
          <w:sz w:val="32"/>
          <w:szCs w:val="32"/>
          <w:highlight w:val="none"/>
          <w:u w:val="none" w:color="auto"/>
          <w:lang w:val="en-US" w:eastAsia="zh-CN"/>
        </w:rPr>
        <w:t>文明城市创建实地测评持续位居全市前列。</w:t>
      </w:r>
      <w:r>
        <w:rPr>
          <w:rFonts w:hint="eastAsia" w:cs="仿宋_GB2312"/>
          <w:color w:val="auto"/>
          <w:spacing w:val="0"/>
          <w:kern w:val="0"/>
          <w:sz w:val="32"/>
          <w:szCs w:val="32"/>
          <w:highlight w:val="none"/>
          <w:u w:val="none" w:color="auto"/>
          <w:lang w:val="en-US" w:eastAsia="zh-CN"/>
        </w:rPr>
        <w:t>拆除违法建筑2.6万平方米，27个小区红线外道路完成整修，</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t>泰山府小区入选</w:t>
      </w:r>
      <w:r>
        <w:rPr>
          <w:rFonts w:hint="eastAsia" w:cs="仿宋_GB2312"/>
          <w:b w:val="0"/>
          <w:bCs w:val="0"/>
          <w:color w:val="auto"/>
          <w:spacing w:val="0"/>
          <w:kern w:val="0"/>
          <w:sz w:val="32"/>
          <w:szCs w:val="32"/>
          <w:highlight w:val="none"/>
          <w:u w:val="none" w:color="auto"/>
          <w:lang w:val="en-US" w:eastAsia="zh-CN"/>
        </w:rPr>
        <w:t>山东</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t>省星级服务项目</w:t>
      </w:r>
      <w:r>
        <w:rPr>
          <w:rFonts w:hint="eastAsia" w:cs="仿宋_GB2312"/>
          <w:b w:val="0"/>
          <w:bCs w:val="0"/>
          <w:color w:val="auto"/>
          <w:spacing w:val="0"/>
          <w:kern w:val="0"/>
          <w:sz w:val="32"/>
          <w:szCs w:val="32"/>
          <w:highlight w:val="none"/>
          <w:u w:val="none" w:color="auto"/>
          <w:lang w:val="en-US" w:eastAsia="zh-CN"/>
        </w:rPr>
        <w:t>。</w:t>
      </w:r>
      <w:r>
        <w:rPr>
          <w:rFonts w:hint="eastAsia" w:ascii="黑体" w:hAnsi="黑体" w:eastAsia="黑体" w:cs="黑体"/>
          <w:color w:val="auto"/>
          <w:spacing w:val="0"/>
          <w:kern w:val="0"/>
          <w:sz w:val="32"/>
          <w:szCs w:val="32"/>
          <w:highlight w:val="none"/>
          <w:u w:val="none" w:color="auto"/>
          <w:lang w:val="en-US" w:eastAsia="zh-CN"/>
        </w:rPr>
        <w:t>乡村振兴步伐坚实。</w:t>
      </w:r>
      <w:r>
        <w:rPr>
          <w:rFonts w:hint="eastAsia" w:cs="仿宋_GB2312"/>
          <w:color w:val="auto"/>
          <w:spacing w:val="0"/>
          <w:kern w:val="0"/>
          <w:sz w:val="32"/>
          <w:szCs w:val="32"/>
          <w:highlight w:val="none"/>
          <w:u w:val="none" w:color="auto"/>
          <w:lang w:val="en-US" w:eastAsia="zh-CN"/>
        </w:rPr>
        <w:t>粮食生产再获丰收，改造提升高标准农田1万亩，打造1处市级农作物良种示范基地，省级粮食绿色高产高效项目落地实施。蓬莱渔港在全市范围内率先通过首批国家级中心渔港等级认定。丘山谷葡萄酒产业带动乡村振兴入选</w:t>
      </w:r>
      <w:r>
        <w:rPr>
          <w:rFonts w:hint="eastAsia" w:cs="仿宋_GB2312"/>
          <w:color w:val="auto"/>
          <w:spacing w:val="-6"/>
          <w:kern w:val="0"/>
          <w:sz w:val="32"/>
          <w:szCs w:val="32"/>
          <w:highlight w:val="none"/>
          <w:u w:val="none" w:color="auto"/>
          <w:lang w:val="en-US" w:eastAsia="zh-CN"/>
        </w:rPr>
        <w:t>省级富民产业典型案例，东方海岸果谷民宿集群实现社会化运营，艾崮山谷入选省级样板片区。</w:t>
      </w:r>
      <w:r>
        <w:rPr>
          <w:rFonts w:hint="eastAsia" w:ascii="仿宋_GB2312" w:hAnsi="仿宋_GB2312" w:eastAsia="仿宋_GB2312" w:cs="仿宋_GB2312"/>
          <w:b w:val="0"/>
          <w:bCs w:val="0"/>
          <w:color w:val="auto"/>
          <w:spacing w:val="-6"/>
          <w:kern w:val="0"/>
          <w:sz w:val="32"/>
          <w:szCs w:val="32"/>
          <w:highlight w:val="none"/>
          <w:u w:val="none" w:color="auto"/>
          <w:lang w:val="en-US" w:eastAsia="zh-CN"/>
        </w:rPr>
        <w:t>改造县乡道路110公里，3</w:t>
      </w:r>
      <w:r>
        <w:rPr>
          <w:rFonts w:hint="eastAsia" w:cs="仿宋_GB2312"/>
          <w:color w:val="auto"/>
          <w:spacing w:val="-6"/>
          <w:kern w:val="0"/>
          <w:sz w:val="32"/>
          <w:szCs w:val="32"/>
          <w:highlight w:val="none"/>
          <w:u w:val="none" w:color="auto"/>
          <w:lang w:val="en-US" w:eastAsia="zh-CN"/>
        </w:rPr>
        <w:t>座新建标准化水厂投入运行，农村生活污水治理率达到55%，新增5处镇级综合寄递服务站。农村人居环境测评全年始终稳居全市前列，3个村庄获评省级和美乡村。</w:t>
      </w:r>
      <w:r>
        <w:rPr>
          <w:rFonts w:hint="eastAsia" w:ascii="黑体" w:hAnsi="黑体" w:eastAsia="黑体" w:cs="黑体"/>
          <w:color w:val="auto"/>
          <w:spacing w:val="-6"/>
          <w:kern w:val="0"/>
          <w:sz w:val="32"/>
          <w:szCs w:val="32"/>
          <w:highlight w:val="none"/>
          <w:u w:val="none" w:color="auto"/>
          <w:lang w:val="en-US" w:eastAsia="zh-CN"/>
        </w:rPr>
        <w:t>绿水青山底色更亮。</w:t>
      </w:r>
      <w:r>
        <w:rPr>
          <w:rFonts w:hint="eastAsia" w:cs="仿宋_GB2312"/>
          <w:color w:val="auto"/>
          <w:spacing w:val="-6"/>
          <w:kern w:val="0"/>
          <w:sz w:val="32"/>
          <w:szCs w:val="32"/>
          <w:highlight w:val="none"/>
          <w:u w:val="none" w:color="auto"/>
          <w:lang w:val="en-US" w:eastAsia="zh-CN"/>
        </w:rPr>
        <w:t>深入打好污染防治攻坚战，PM2.5平均浓度同比改善14.3%，清理海上非法养殖80.5公顷，全区粪污资源化利用率、废弃农膜回收率保持在90%以上。集中式饮用水水源地水质达标率、近岸海域海水水质优良比例、建设用地安全利用率均达到100%</w:t>
      </w:r>
      <w:r>
        <w:rPr>
          <w:rFonts w:hint="eastAsia"/>
          <w:color w:val="auto"/>
          <w:spacing w:val="-6"/>
          <w:kern w:val="0"/>
          <w:sz w:val="32"/>
          <w:szCs w:val="32"/>
          <w:highlight w:val="none"/>
          <w:u w:val="none" w:color="auto"/>
          <w:lang w:val="en-US" w:eastAsia="zh-CN"/>
        </w:rPr>
        <w:t>，森林覆盖率达到43.3%。</w:t>
      </w:r>
    </w:p>
    <w:p w14:paraId="4CE123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s="仿宋_GB2312"/>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过</w:t>
      </w:r>
      <w:r>
        <w:rPr>
          <w:rFonts w:hint="eastAsia" w:ascii="楷体_GB2312" w:hAnsi="楷体_GB2312" w:eastAsia="楷体_GB2312" w:cs="楷体_GB2312"/>
          <w:color w:val="auto"/>
          <w:spacing w:val="-6"/>
          <w:kern w:val="0"/>
          <w:sz w:val="32"/>
          <w:szCs w:val="32"/>
          <w:highlight w:val="none"/>
          <w:u w:val="none" w:color="auto"/>
          <w:lang w:val="en-US" w:eastAsia="zh-CN"/>
        </w:rPr>
        <w:t>去的一年，我们聚力惠民生、保平安，人民生活更有质感。</w:t>
      </w:r>
      <w:r>
        <w:rPr>
          <w:rFonts w:hint="eastAsia" w:ascii="黑体" w:hAnsi="黑体" w:eastAsia="黑体" w:cs="黑体"/>
          <w:color w:val="auto"/>
          <w:spacing w:val="0"/>
          <w:kern w:val="0"/>
          <w:sz w:val="32"/>
          <w:szCs w:val="32"/>
          <w:highlight w:val="none"/>
          <w:u w:val="none" w:color="auto"/>
          <w:lang w:val="en-US" w:eastAsia="zh-CN"/>
        </w:rPr>
        <w:t>优质供给更加充分。</w:t>
      </w:r>
      <w:r>
        <w:rPr>
          <w:rFonts w:hint="eastAsia" w:cs="仿宋_GB2312"/>
          <w:color w:val="auto"/>
          <w:spacing w:val="0"/>
          <w:kern w:val="0"/>
          <w:sz w:val="32"/>
          <w:szCs w:val="32"/>
          <w:highlight w:val="none"/>
          <w:u w:val="none" w:color="auto"/>
          <w:lang w:val="en-US" w:eastAsia="zh-CN"/>
        </w:rPr>
        <w:t>“12345”热线平台解决群众诉求5.3万件，</w:t>
      </w:r>
      <w:r>
        <w:rPr>
          <w:rFonts w:hint="eastAsia" w:ascii="仿宋_GB2312" w:hAnsi="仿宋_GB2312" w:eastAsia="仿宋_GB2312" w:cs="仿宋_GB2312"/>
          <w:color w:val="auto"/>
          <w:spacing w:val="0"/>
          <w:kern w:val="0"/>
          <w:sz w:val="32"/>
          <w:szCs w:val="32"/>
          <w:highlight w:val="none"/>
          <w:u w:val="none" w:color="auto"/>
          <w:lang w:val="en-US" w:eastAsia="zh-CN"/>
        </w:rPr>
        <w:t>10项重点民生实事全部完成。</w:t>
      </w:r>
      <w:r>
        <w:rPr>
          <w:rFonts w:hint="eastAsia" w:cs="仿宋_GB2312"/>
          <w:strike w:val="0"/>
          <w:dstrike w:val="0"/>
          <w:color w:val="auto"/>
          <w:spacing w:val="0"/>
          <w:kern w:val="0"/>
          <w:sz w:val="32"/>
          <w:szCs w:val="32"/>
          <w:highlight w:val="none"/>
          <w:u w:val="none" w:color="auto"/>
          <w:lang w:val="en-US" w:eastAsia="zh-CN"/>
        </w:rPr>
        <w:t>多措并举稳定和扩大就业，</w:t>
      </w:r>
      <w:r>
        <w:rPr>
          <w:rFonts w:hint="eastAsia" w:cs="仿宋_GB2312"/>
          <w:color w:val="auto"/>
          <w:spacing w:val="0"/>
          <w:kern w:val="0"/>
          <w:sz w:val="32"/>
          <w:szCs w:val="32"/>
          <w:highlight w:val="none"/>
          <w:u w:val="none" w:color="auto"/>
          <w:lang w:val="en-US" w:eastAsia="zh-CN"/>
        </w:rPr>
        <w:t>发放创业担保贷款</w:t>
      </w:r>
      <w:r>
        <w:rPr>
          <w:rFonts w:hint="eastAsia" w:cs="仿宋_GB2312"/>
          <w:b w:val="0"/>
          <w:bCs w:val="0"/>
          <w:color w:val="auto"/>
          <w:spacing w:val="0"/>
          <w:kern w:val="0"/>
          <w:sz w:val="32"/>
          <w:szCs w:val="32"/>
          <w:highlight w:val="none"/>
          <w:u w:val="none" w:color="auto"/>
          <w:lang w:val="en-US" w:eastAsia="zh-CN"/>
        </w:rPr>
        <w:t>9994万</w:t>
      </w:r>
      <w:r>
        <w:rPr>
          <w:rFonts w:hint="eastAsia" w:cs="仿宋_GB2312"/>
          <w:color w:val="auto"/>
          <w:spacing w:val="0"/>
          <w:kern w:val="0"/>
          <w:sz w:val="32"/>
          <w:szCs w:val="32"/>
          <w:highlight w:val="none"/>
          <w:u w:val="none" w:color="auto"/>
          <w:lang w:val="en-US" w:eastAsia="zh-CN"/>
        </w:rPr>
        <w:t>元、开展职业技能提升培训3500人次。发</w:t>
      </w:r>
      <w:r>
        <w:rPr>
          <w:rFonts w:hint="eastAsia" w:cs="仿宋_GB2312"/>
          <w:color w:val="auto"/>
          <w:spacing w:val="-6"/>
          <w:kern w:val="0"/>
          <w:sz w:val="32"/>
          <w:szCs w:val="32"/>
          <w:highlight w:val="none"/>
          <w:u w:val="none" w:color="auto"/>
          <w:lang w:val="en-US" w:eastAsia="zh-CN"/>
        </w:rPr>
        <w:t>放低保、特困等保障资金近1.3亿元。</w:t>
      </w:r>
      <w:r>
        <w:rPr>
          <w:rFonts w:hint="eastAsia" w:cs="仿宋_GB2312"/>
          <w:b w:val="0"/>
          <w:bCs w:val="0"/>
          <w:strike w:val="0"/>
          <w:dstrike w:val="0"/>
          <w:color w:val="auto"/>
          <w:spacing w:val="-6"/>
          <w:kern w:val="0"/>
          <w:sz w:val="32"/>
          <w:szCs w:val="32"/>
          <w:highlight w:val="none"/>
          <w:u w:val="none" w:color="auto"/>
          <w:lang w:val="en-US" w:eastAsia="zh-CN"/>
        </w:rPr>
        <w:t>统筹推进城乡学校共享优</w:t>
      </w:r>
      <w:r>
        <w:rPr>
          <w:rFonts w:hint="eastAsia" w:cs="仿宋_GB2312"/>
          <w:b w:val="0"/>
          <w:bCs w:val="0"/>
          <w:strike w:val="0"/>
          <w:dstrike w:val="0"/>
          <w:color w:val="auto"/>
          <w:spacing w:val="0"/>
          <w:kern w:val="0"/>
          <w:sz w:val="32"/>
          <w:szCs w:val="32"/>
          <w:highlight w:val="none"/>
          <w:u w:val="none" w:color="auto"/>
          <w:lang w:val="en-US" w:eastAsia="zh-CN"/>
        </w:rPr>
        <w:t>质教学资源，</w:t>
      </w:r>
      <w:r>
        <w:rPr>
          <w:rFonts w:hint="eastAsia" w:cs="仿宋_GB2312"/>
          <w:b w:val="0"/>
          <w:bCs w:val="0"/>
          <w:color w:val="auto"/>
          <w:spacing w:val="0"/>
          <w:kern w:val="0"/>
          <w:sz w:val="32"/>
          <w:szCs w:val="32"/>
          <w:highlight w:val="none"/>
          <w:u w:val="none" w:color="auto"/>
          <w:lang w:val="en-US" w:eastAsia="zh-CN"/>
        </w:rPr>
        <w:t>为13所农村学校配备午休座椅4100余把，职业教育</w:t>
      </w:r>
      <w:r>
        <w:rPr>
          <w:rFonts w:hint="eastAsia" w:ascii="仿宋_GB2312" w:hAnsi="仿宋_GB2312" w:eastAsia="仿宋_GB2312" w:cs="仿宋_GB2312"/>
          <w:color w:val="auto"/>
          <w:spacing w:val="0"/>
          <w:kern w:val="0"/>
          <w:sz w:val="32"/>
          <w:szCs w:val="32"/>
          <w:highlight w:val="none"/>
          <w:u w:val="none" w:color="auto"/>
          <w:lang w:val="en-US" w:eastAsia="zh-CN"/>
        </w:rPr>
        <w:t>本科上线率56.2%</w:t>
      </w:r>
      <w:r>
        <w:rPr>
          <w:rFonts w:hint="eastAsia" w:cs="仿宋_GB2312"/>
          <w:color w:val="auto"/>
          <w:spacing w:val="0"/>
          <w:kern w:val="0"/>
          <w:sz w:val="32"/>
          <w:szCs w:val="32"/>
          <w:highlight w:val="none"/>
          <w:u w:val="none" w:color="auto"/>
          <w:lang w:val="en-US" w:eastAsia="zh-CN"/>
        </w:rPr>
        <w:t>、</w:t>
      </w:r>
      <w:r>
        <w:rPr>
          <w:rFonts w:hint="eastAsia" w:ascii="仿宋_GB2312" w:hAnsi="仿宋_GB2312" w:eastAsia="仿宋_GB2312" w:cs="仿宋_GB2312"/>
          <w:color w:val="auto"/>
          <w:spacing w:val="0"/>
          <w:kern w:val="0"/>
          <w:sz w:val="32"/>
          <w:szCs w:val="32"/>
          <w:highlight w:val="none"/>
          <w:u w:val="none" w:color="auto"/>
          <w:lang w:val="en-US" w:eastAsia="zh-CN"/>
        </w:rPr>
        <w:t>创历史新高</w:t>
      </w:r>
      <w:r>
        <w:rPr>
          <w:rFonts w:hint="eastAsia" w:cs="仿宋_GB2312"/>
          <w:color w:val="auto"/>
          <w:spacing w:val="0"/>
          <w:kern w:val="0"/>
          <w:sz w:val="32"/>
          <w:szCs w:val="32"/>
          <w:highlight w:val="none"/>
          <w:u w:val="none" w:color="auto"/>
          <w:lang w:val="en-US" w:eastAsia="zh-CN"/>
        </w:rPr>
        <w:t>，特殊教育学校完成改造搬迁。</w:t>
      </w:r>
      <w:r>
        <w:rPr>
          <w:rFonts w:hint="eastAsia" w:cs="仿宋_GB2312"/>
          <w:strike w:val="0"/>
          <w:dstrike w:val="0"/>
          <w:color w:val="auto"/>
          <w:spacing w:val="0"/>
          <w:kern w:val="0"/>
          <w:sz w:val="32"/>
          <w:szCs w:val="32"/>
          <w:highlight w:val="none"/>
          <w:u w:val="none" w:color="auto"/>
          <w:lang w:val="en-US" w:eastAsia="zh-CN"/>
        </w:rPr>
        <w:t>医疗服务可及性稳步提升，</w:t>
      </w:r>
      <w:r>
        <w:rPr>
          <w:rFonts w:hint="eastAsia" w:cs="仿宋_GB2312"/>
          <w:color w:val="auto"/>
          <w:spacing w:val="0"/>
          <w:kern w:val="0"/>
          <w:sz w:val="32"/>
          <w:szCs w:val="32"/>
          <w:highlight w:val="none"/>
          <w:u w:val="none" w:color="auto"/>
          <w:lang w:val="en-US" w:eastAsia="zh-CN"/>
        </w:rPr>
        <w:t>新搭建3个省内医联体，邀请50余名国内知名专家来蓬坐诊、手术百余场，在基层铺设全天候心电图机182台，基本医疗领域公共服务成效位居全市第一。</w:t>
      </w:r>
      <w:r>
        <w:rPr>
          <w:rFonts w:hint="eastAsia" w:ascii="黑体" w:hAnsi="黑体" w:eastAsia="黑体" w:cs="黑体"/>
          <w:color w:val="auto"/>
          <w:spacing w:val="0"/>
          <w:kern w:val="0"/>
          <w:sz w:val="32"/>
          <w:szCs w:val="32"/>
          <w:highlight w:val="none"/>
          <w:u w:val="none" w:color="auto"/>
          <w:lang w:val="en-US" w:eastAsia="zh-CN"/>
        </w:rPr>
        <w:t>文体事业繁荣发展。</w:t>
      </w:r>
      <w:r>
        <w:rPr>
          <w:rFonts w:hint="eastAsia" w:cs="仿宋_GB2312"/>
          <w:color w:val="auto"/>
          <w:spacing w:val="0"/>
          <w:kern w:val="0"/>
          <w:sz w:val="32"/>
          <w:szCs w:val="32"/>
          <w:highlight w:val="none"/>
          <w:u w:val="none" w:color="auto"/>
          <w:lang w:val="en-US" w:eastAsia="zh-CN"/>
        </w:rPr>
        <w:t>开展文化进基层惠民演出800余场，7个文化站达到省特级站标准。登州武术馆入选烟台市非物质文化遗产传习基地，“古船制作”“葫芦雕刻”技艺登上央视。圆满承办全国击剑冠军赛等7项国省级赛事，蓬莱队荣获2025烟台城市足球超级联赛季军。广泛开展全民健身活动，提升城市公园体育设施15处，举办“海市杯”篮球赛等群众性体育活动近百场。</w:t>
      </w:r>
      <w:r>
        <w:rPr>
          <w:rFonts w:hint="eastAsia" w:ascii="黑体" w:hAnsi="黑体" w:eastAsia="黑体" w:cs="黑体"/>
          <w:color w:val="auto"/>
          <w:spacing w:val="0"/>
          <w:kern w:val="0"/>
          <w:sz w:val="32"/>
          <w:szCs w:val="32"/>
          <w:highlight w:val="none"/>
          <w:u w:val="none" w:color="auto"/>
          <w:lang w:val="en-US" w:eastAsia="zh-CN"/>
        </w:rPr>
        <w:t>平安根基坚实稳固。</w:t>
      </w:r>
      <w:r>
        <w:rPr>
          <w:rFonts w:hint="eastAsia" w:cs="仿宋_GB2312"/>
          <w:color w:val="auto"/>
          <w:spacing w:val="0"/>
          <w:kern w:val="0"/>
          <w:sz w:val="32"/>
          <w:szCs w:val="32"/>
          <w:highlight w:val="none"/>
          <w:u w:val="none" w:color="auto"/>
          <w:lang w:val="en-US" w:eastAsia="zh-CN"/>
        </w:rPr>
        <w:t>发挥仙境新网格管理经验和优势，从严从细抓好安全生产、森林防火、信访稳定等底线工作，全区未发生较大以上生产安全事故，本质安全水平持续提升。地方政府债务、中小金融机构、房地产等领域风险防范化解有力有序。严厉打击整治突出违法犯罪，社会治安形势持续向好。</w:t>
      </w:r>
    </w:p>
    <w:p w14:paraId="739AC8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kern w:val="0"/>
          <w:sz w:val="32"/>
          <w:szCs w:val="32"/>
          <w:highlight w:val="none"/>
          <w:u w:val="none" w:color="auto"/>
          <w:lang w:val="en-US" w:eastAsia="zh-CN"/>
        </w:rPr>
      </w:pPr>
      <w:r>
        <w:rPr>
          <w:rFonts w:hint="eastAsia" w:cs="仿宋_GB2312"/>
          <w:color w:val="auto"/>
          <w:spacing w:val="0"/>
          <w:kern w:val="0"/>
          <w:sz w:val="32"/>
          <w:szCs w:val="32"/>
          <w:highlight w:val="none"/>
          <w:u w:val="none" w:color="auto"/>
          <w:lang w:val="en-US" w:eastAsia="zh-CN"/>
        </w:rPr>
        <w:t>各位代表，时间是最好的见证，五年风雨兼程，五年硕果累累。这些成绩的取得，是区委科学决策、正确领导的结果，是区人大、区政协和社会各界有效监督、鼎力支持的结果，更是全区人民万众一心、团结奋斗的结果。在此，我代表区人民政府，向全区人民，向各位人大代表、政协委员、离退休老同志、社会各界人士，向各级驻蓬单位、驻蓬部队，向所有关心支持蓬莱发展的海内外朋友们，致以崇高的敬意和衷心的感谢！</w:t>
      </w:r>
    </w:p>
    <w:p w14:paraId="792999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cs="仿宋_GB2312"/>
          <w:color w:val="auto"/>
          <w:spacing w:val="0"/>
          <w:kern w:val="0"/>
          <w:sz w:val="32"/>
          <w:szCs w:val="32"/>
          <w:highlight w:val="none"/>
          <w:u w:val="none" w:color="auto"/>
          <w:lang w:val="en-US" w:eastAsia="zh-CN"/>
        </w:rPr>
        <w:t>各位代表，在看到成绩的同时，我们也清醒认识到，经济社会发展还存在一些困难和问题：经济运行面临内需不足、外需承压的双重挑战，部分企业生产经营困难；重大项目投资接续不足，推进新型工业化、培育先进制造业集群还需持续发力；新兴消费业态和场景供给还不够丰富，现代服务业发展仍需提速增效；科技创新与产业创新融合深度不够，新质生产力的培育仍需久久为功；城乡发展还不均衡，优质公共服务供给仍显不足；安全生产、生态保护还存在薄弱环节，重点领域风险防范化解仍需加力；行政服务效能与群众期盼还有差距，等等。我们一定高度重视，采取更加有力举措加以解决。</w:t>
      </w:r>
    </w:p>
    <w:p w14:paraId="3D9C7B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二、“十五五”时期主要目标任务</w:t>
      </w:r>
    </w:p>
    <w:p w14:paraId="7F247A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s="仿宋_GB2312"/>
          <w:color w:val="auto"/>
          <w:spacing w:val="0"/>
          <w:kern w:val="0"/>
          <w:sz w:val="32"/>
          <w:szCs w:val="32"/>
          <w:highlight w:val="none"/>
          <w:u w:val="none" w:color="auto"/>
          <w:lang w:val="en-US" w:eastAsia="zh-CN"/>
        </w:rPr>
      </w:pPr>
      <w:r>
        <w:rPr>
          <w:rFonts w:hint="eastAsia" w:cs="仿宋_GB2312"/>
          <w:color w:val="auto"/>
          <w:spacing w:val="0"/>
          <w:kern w:val="0"/>
          <w:sz w:val="32"/>
          <w:szCs w:val="32"/>
          <w:highlight w:val="none"/>
          <w:u w:val="none" w:color="auto"/>
          <w:lang w:val="en-US" w:eastAsia="zh-CN"/>
        </w:rPr>
        <w:t>各位代表，一切伟大成就都是接续奋斗的结果，一切伟大事业都需要在继往开来中推进。根据《中共烟台市蓬莱区委关于制定蓬莱区国民经济和社会发展第十五个五年规划的建议》，区政府编制了“十五五”规划纲要（草案），提请大会审议。</w:t>
      </w:r>
    </w:p>
    <w:p w14:paraId="203745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“十五五”时期，经济社会发展的主要目标是：</w:t>
      </w:r>
      <w:r>
        <w:rPr>
          <w:rFonts w:hint="eastAsia"/>
          <w:color w:val="auto"/>
          <w:spacing w:val="0"/>
          <w:kern w:val="0"/>
          <w:sz w:val="32"/>
          <w:szCs w:val="32"/>
          <w:highlight w:val="none"/>
          <w:u w:val="none" w:color="auto"/>
          <w:lang w:val="en-US" w:eastAsia="zh-CN"/>
        </w:rPr>
        <w:t>经过五年不懈奋斗，全区经济实力、科技实力、综合竞争力显著增强，服务全市高质量发展的贡献度、首位度不断提升，在构建现代化产业体系、绿色低碳转型、全面深化改革、促进共同富裕等方面取得标志性突破，经济社会发展实现新跨越。围绕实现上述发展目标，</w:t>
      </w:r>
      <w:r>
        <w:rPr>
          <w:rFonts w:hint="eastAsia"/>
          <w:strike w:val="0"/>
          <w:dstrike w:val="0"/>
          <w:color w:val="auto"/>
          <w:spacing w:val="0"/>
          <w:kern w:val="0"/>
          <w:sz w:val="32"/>
          <w:szCs w:val="32"/>
          <w:highlight w:val="none"/>
          <w:u w:val="none" w:color="auto"/>
          <w:lang w:val="en-US" w:eastAsia="zh-CN"/>
        </w:rPr>
        <w:t>规划纲要（草案）提出了一系列支撑发展的重大</w:t>
      </w:r>
      <w:r>
        <w:rPr>
          <w:rFonts w:hint="eastAsia"/>
          <w:strike w:val="0"/>
          <w:dstrike w:val="0"/>
          <w:color w:val="auto"/>
          <w:spacing w:val="-6"/>
          <w:kern w:val="0"/>
          <w:sz w:val="32"/>
          <w:szCs w:val="32"/>
          <w:highlight w:val="none"/>
          <w:u w:val="none" w:color="auto"/>
          <w:lang w:val="en-US" w:eastAsia="zh-CN"/>
        </w:rPr>
        <w:t>工程、重大项目和重要举措，</w:t>
      </w:r>
      <w:r>
        <w:rPr>
          <w:rFonts w:hint="eastAsia"/>
          <w:color w:val="auto"/>
          <w:spacing w:val="-6"/>
          <w:kern w:val="0"/>
          <w:sz w:val="32"/>
          <w:szCs w:val="32"/>
          <w:highlight w:val="none"/>
          <w:u w:val="none" w:color="auto"/>
          <w:lang w:val="en-US" w:eastAsia="zh-CN"/>
        </w:rPr>
        <w:t>我们将全力做好以下五个方面工作：</w:t>
      </w:r>
    </w:p>
    <w:p w14:paraId="0A2F60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（一）凝心聚力推动高质量发展。</w:t>
      </w:r>
      <w:r>
        <w:rPr>
          <w:rFonts w:hint="eastAsia"/>
          <w:color w:val="auto"/>
          <w:spacing w:val="0"/>
          <w:kern w:val="0"/>
          <w:sz w:val="32"/>
          <w:szCs w:val="32"/>
          <w:highlight w:val="none"/>
          <w:u w:val="none" w:color="auto"/>
          <w:lang w:val="en-US" w:eastAsia="zh-CN"/>
        </w:rPr>
        <w:t>坚定实施扩大内需战略，大力提振消费，扩大有效投资，</w:t>
      </w:r>
      <w:r>
        <w:rPr>
          <w:rFonts w:hint="eastAsia"/>
          <w:strike w:val="0"/>
          <w:dstrike w:val="0"/>
          <w:color w:val="auto"/>
          <w:spacing w:val="0"/>
          <w:kern w:val="0"/>
          <w:sz w:val="32"/>
          <w:szCs w:val="32"/>
          <w:highlight w:val="none"/>
          <w:u w:val="none" w:color="auto"/>
          <w:lang w:val="en-US" w:eastAsia="zh-CN"/>
        </w:rPr>
        <w:t>形成消费与投资相互促进的良性循环</w:t>
      </w:r>
      <w:r>
        <w:rPr>
          <w:rFonts w:hint="eastAsia"/>
          <w:strike w:val="0"/>
          <w:color w:val="auto"/>
          <w:spacing w:val="0"/>
          <w:kern w:val="0"/>
          <w:sz w:val="32"/>
          <w:szCs w:val="32"/>
          <w:highlight w:val="none"/>
          <w:u w:val="none" w:color="auto"/>
          <w:lang w:val="en-US" w:eastAsia="zh-CN"/>
        </w:rPr>
        <w:t>。</w:t>
      </w:r>
      <w:r>
        <w:rPr>
          <w:rFonts w:hint="eastAsia"/>
          <w:color w:val="auto"/>
          <w:spacing w:val="0"/>
          <w:kern w:val="0"/>
          <w:sz w:val="32"/>
          <w:szCs w:val="32"/>
          <w:highlight w:val="none"/>
          <w:u w:val="none" w:color="auto"/>
          <w:lang w:val="en-US" w:eastAsia="zh-CN"/>
        </w:rPr>
        <w:t>壮大实体经济根基，加快构建现代化产业发展格局。培育绿色新材料、海工装备两个具有全球竞争力的500亿级先进制造业集群，建设世界一流的绿色新材料产业基地，打造具有全球影响力的海工装备制造中心。</w:t>
      </w:r>
      <w:r>
        <w:rPr>
          <w:rFonts w:hint="eastAsia"/>
          <w:strike w:val="0"/>
          <w:dstrike w:val="0"/>
          <w:color w:val="auto"/>
          <w:spacing w:val="0"/>
          <w:kern w:val="0"/>
          <w:sz w:val="32"/>
          <w:szCs w:val="32"/>
          <w:highlight w:val="none"/>
          <w:u w:val="none" w:color="auto"/>
          <w:lang w:val="en-US" w:eastAsia="zh-CN"/>
        </w:rPr>
        <w:t>以智能化改造、绿色化提升、高端化发展为路径，</w:t>
      </w:r>
      <w:r>
        <w:rPr>
          <w:rFonts w:hint="eastAsia"/>
          <w:color w:val="auto"/>
          <w:spacing w:val="0"/>
          <w:kern w:val="0"/>
          <w:sz w:val="32"/>
          <w:szCs w:val="32"/>
          <w:highlight w:val="none"/>
          <w:u w:val="none" w:color="auto"/>
          <w:lang w:val="en-US" w:eastAsia="zh-CN"/>
        </w:rPr>
        <w:t>打造黄金、绿色建造等一批百亿级产业集群，蓬莱产区葡萄酒品牌价值突破150亿元。建成一批特色鲜明的低空旅游项目，</w:t>
      </w:r>
      <w:r>
        <w:rPr>
          <w:rFonts w:hint="eastAsia"/>
          <w:strike w:val="0"/>
          <w:dstrike w:val="0"/>
          <w:color w:val="auto"/>
          <w:spacing w:val="0"/>
          <w:kern w:val="0"/>
          <w:sz w:val="32"/>
          <w:szCs w:val="32"/>
          <w:highlight w:val="none"/>
          <w:u w:val="none" w:color="auto"/>
          <w:lang w:val="en-US" w:eastAsia="zh-CN"/>
        </w:rPr>
        <w:t>培育形成低空经济新业态。</w:t>
      </w:r>
      <w:r>
        <w:rPr>
          <w:rFonts w:hint="eastAsia"/>
          <w:color w:val="auto"/>
          <w:spacing w:val="0"/>
          <w:kern w:val="0"/>
          <w:sz w:val="32"/>
          <w:szCs w:val="32"/>
          <w:highlight w:val="none"/>
          <w:u w:val="none" w:color="auto"/>
          <w:lang w:val="en-US" w:eastAsia="zh-CN"/>
        </w:rPr>
        <w:t>深化现代服务业与先进制造业、现代农业融合</w:t>
      </w:r>
      <w:r>
        <w:rPr>
          <w:rFonts w:hint="eastAsia"/>
          <w:strike w:val="0"/>
          <w:dstrike w:val="0"/>
          <w:color w:val="auto"/>
          <w:spacing w:val="0"/>
          <w:kern w:val="0"/>
          <w:sz w:val="32"/>
          <w:szCs w:val="32"/>
          <w:highlight w:val="none"/>
          <w:u w:val="none" w:color="auto"/>
          <w:lang w:val="en-US" w:eastAsia="zh-CN"/>
        </w:rPr>
        <w:t>，提速服务业数智化转型</w:t>
      </w:r>
      <w:r>
        <w:rPr>
          <w:rFonts w:hint="eastAsia"/>
          <w:strike w:val="0"/>
          <w:color w:val="auto"/>
          <w:spacing w:val="0"/>
          <w:kern w:val="0"/>
          <w:sz w:val="32"/>
          <w:szCs w:val="32"/>
          <w:highlight w:val="none"/>
          <w:u w:val="none" w:color="auto"/>
          <w:lang w:val="en-US" w:eastAsia="zh-CN"/>
        </w:rPr>
        <w:t>。</w:t>
      </w:r>
      <w:r>
        <w:rPr>
          <w:rFonts w:hint="eastAsia"/>
          <w:color w:val="auto"/>
          <w:spacing w:val="0"/>
          <w:kern w:val="0"/>
          <w:sz w:val="32"/>
          <w:szCs w:val="32"/>
          <w:highlight w:val="none"/>
          <w:u w:val="none" w:color="auto"/>
          <w:lang w:val="en-US" w:eastAsia="zh-CN"/>
        </w:rPr>
        <w:t>到“十五五”末，基本建成特色鲜明、活力充沛、支撑有力的现代化产业体系。</w:t>
      </w:r>
    </w:p>
    <w:p w14:paraId="40CC06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（二）凝心聚力推进科技创新。</w:t>
      </w:r>
      <w:r>
        <w:rPr>
          <w:rFonts w:hint="eastAsia"/>
          <w:strike w:val="0"/>
          <w:dstrike w:val="0"/>
          <w:color w:val="auto"/>
          <w:spacing w:val="0"/>
          <w:kern w:val="0"/>
          <w:sz w:val="32"/>
          <w:szCs w:val="32"/>
          <w:highlight w:val="none"/>
          <w:u w:val="none" w:color="auto"/>
          <w:lang w:val="en-US" w:eastAsia="zh-CN"/>
        </w:rPr>
        <w:t>深入推进科教强区、人才兴区、创新驱动发展战略，</w:t>
      </w:r>
      <w:r>
        <w:rPr>
          <w:rFonts w:hint="eastAsia"/>
          <w:color w:val="auto"/>
          <w:spacing w:val="0"/>
          <w:kern w:val="0"/>
          <w:sz w:val="32"/>
          <w:szCs w:val="32"/>
          <w:highlight w:val="none"/>
          <w:u w:val="none" w:color="auto"/>
          <w:lang w:val="en-US" w:eastAsia="zh-CN"/>
        </w:rPr>
        <w:t>一体推进教育科技人才发展，推动科技创新与产业创新深度融合。</w:t>
      </w:r>
      <w:r>
        <w:rPr>
          <w:rFonts w:hint="eastAsia"/>
          <w:strike w:val="0"/>
          <w:dstrike w:val="0"/>
          <w:color w:val="auto"/>
          <w:spacing w:val="0"/>
          <w:kern w:val="0"/>
          <w:sz w:val="32"/>
          <w:szCs w:val="32"/>
          <w:highlight w:val="none"/>
          <w:u w:val="none" w:color="auto"/>
          <w:lang w:val="en-US" w:eastAsia="zh-CN"/>
        </w:rPr>
        <w:t>围绕产业发展，沿链精准聚才，</w:t>
      </w:r>
      <w:r>
        <w:rPr>
          <w:rFonts w:hint="eastAsia"/>
          <w:color w:val="auto"/>
          <w:spacing w:val="0"/>
          <w:kern w:val="0"/>
          <w:sz w:val="32"/>
          <w:szCs w:val="32"/>
          <w:highlight w:val="none"/>
          <w:u w:val="none" w:color="auto"/>
          <w:lang w:val="en-US" w:eastAsia="zh-CN"/>
        </w:rPr>
        <w:t>加快构建特色产业人才集聚区。建立常态化校地企合作对接机制，实现科研资源共享、人才共引共用。高水平建设科创平台载体，</w:t>
      </w:r>
      <w:r>
        <w:rPr>
          <w:rFonts w:hint="eastAsia"/>
          <w:strike w:val="0"/>
          <w:dstrike w:val="0"/>
          <w:color w:val="auto"/>
          <w:spacing w:val="0"/>
          <w:kern w:val="0"/>
          <w:sz w:val="32"/>
          <w:szCs w:val="32"/>
          <w:highlight w:val="none"/>
          <w:u w:val="none" w:color="auto"/>
          <w:lang w:val="en-US" w:eastAsia="zh-CN"/>
        </w:rPr>
        <w:t>强化企业创新主体地位，形成大中小企业梯次培育矩阵，</w:t>
      </w:r>
      <w:r>
        <w:rPr>
          <w:rFonts w:hint="eastAsia"/>
          <w:color w:val="auto"/>
          <w:spacing w:val="0"/>
          <w:kern w:val="0"/>
          <w:sz w:val="32"/>
          <w:szCs w:val="32"/>
          <w:highlight w:val="none"/>
          <w:u w:val="none" w:color="auto"/>
          <w:lang w:val="en-US" w:eastAsia="zh-CN"/>
        </w:rPr>
        <w:t>推进西安交通大学等高校在蓬莱设立科创平台。加强与中科院、哈工程等机构开展深度合作，以市场化思维推动科研成果转化。</w:t>
      </w:r>
    </w:p>
    <w:p w14:paraId="3F32B1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（三）凝心聚力建设美丽蓬莱。</w:t>
      </w:r>
      <w:r>
        <w:rPr>
          <w:rFonts w:hint="eastAsia"/>
          <w:color w:val="auto"/>
          <w:spacing w:val="0"/>
          <w:kern w:val="0"/>
          <w:sz w:val="32"/>
          <w:szCs w:val="32"/>
          <w:highlight w:val="none"/>
          <w:u w:val="none" w:color="auto"/>
          <w:lang w:val="en-US" w:eastAsia="zh-CN"/>
        </w:rPr>
        <w:t>深耕协同融合大文旅，坚定不移建设“神仙生活蓬莱湾”，丰富高品质旅游新产品、新场景、新模式，聚力打造具有国际影响力的旅游度假区。全面落实“人民城市”理念，</w:t>
      </w:r>
      <w:r>
        <w:rPr>
          <w:rFonts w:hint="eastAsia"/>
          <w:strike w:val="0"/>
          <w:dstrike w:val="0"/>
          <w:color w:val="auto"/>
          <w:spacing w:val="0"/>
          <w:kern w:val="0"/>
          <w:sz w:val="32"/>
          <w:szCs w:val="32"/>
          <w:highlight w:val="none"/>
          <w:u w:val="none" w:color="auto"/>
          <w:lang w:val="en-US" w:eastAsia="zh-CN"/>
        </w:rPr>
        <w:t>持续完善城市功能布局和规格形态，高质量开展城市更新行动，</w:t>
      </w:r>
      <w:r>
        <w:rPr>
          <w:rFonts w:hint="eastAsia"/>
          <w:color w:val="auto"/>
          <w:spacing w:val="0"/>
          <w:kern w:val="0"/>
          <w:sz w:val="32"/>
          <w:szCs w:val="32"/>
          <w:highlight w:val="none"/>
          <w:u w:val="none" w:color="auto"/>
          <w:lang w:val="en-US" w:eastAsia="zh-CN"/>
        </w:rPr>
        <w:t>打造现代化人民城市。</w:t>
      </w:r>
      <w:r>
        <w:rPr>
          <w:rFonts w:hint="eastAsia"/>
          <w:strike w:val="0"/>
          <w:dstrike w:val="0"/>
          <w:color w:val="auto"/>
          <w:spacing w:val="0"/>
          <w:kern w:val="0"/>
          <w:sz w:val="32"/>
          <w:szCs w:val="32"/>
          <w:highlight w:val="none"/>
          <w:u w:val="none" w:color="auto"/>
          <w:lang w:val="en-US" w:eastAsia="zh-CN"/>
        </w:rPr>
        <w:t>以碳达峰碳中和为牵引，加快构建绿色制造体系，</w:t>
      </w:r>
      <w:r>
        <w:rPr>
          <w:rFonts w:hint="eastAsia"/>
          <w:color w:val="auto"/>
          <w:spacing w:val="0"/>
          <w:kern w:val="0"/>
          <w:sz w:val="32"/>
          <w:szCs w:val="32"/>
          <w:highlight w:val="none"/>
          <w:u w:val="none" w:color="auto"/>
          <w:lang w:val="en-US" w:eastAsia="zh-CN"/>
        </w:rPr>
        <w:t>推动产业绿色低碳发展。</w:t>
      </w:r>
      <w:r>
        <w:rPr>
          <w:rFonts w:hint="eastAsia"/>
          <w:strike w:val="0"/>
          <w:dstrike w:val="0"/>
          <w:color w:val="auto"/>
          <w:spacing w:val="0"/>
          <w:kern w:val="0"/>
          <w:sz w:val="32"/>
          <w:szCs w:val="32"/>
          <w:highlight w:val="none"/>
          <w:u w:val="none" w:color="auto"/>
          <w:lang w:val="en-US" w:eastAsia="zh-CN"/>
        </w:rPr>
        <w:t>有序推进半岛北片区海上风电资源规模化开发，</w:t>
      </w:r>
      <w:r>
        <w:rPr>
          <w:rFonts w:hint="eastAsia"/>
          <w:color w:val="auto"/>
          <w:spacing w:val="0"/>
          <w:kern w:val="0"/>
          <w:sz w:val="32"/>
          <w:szCs w:val="32"/>
          <w:highlight w:val="none"/>
          <w:u w:val="none" w:color="auto"/>
          <w:lang w:val="en-US" w:eastAsia="zh-CN"/>
        </w:rPr>
        <w:t>构建清洁低碳、安全高效的新型能源体系。深化生态文明示范建设，</w:t>
      </w:r>
      <w:r>
        <w:rPr>
          <w:rFonts w:hint="eastAsia"/>
          <w:strike w:val="0"/>
          <w:dstrike w:val="0"/>
          <w:color w:val="auto"/>
          <w:spacing w:val="0"/>
          <w:kern w:val="0"/>
          <w:sz w:val="32"/>
          <w:szCs w:val="32"/>
          <w:highlight w:val="none"/>
          <w:u w:val="none" w:color="auto"/>
          <w:lang w:val="en-US" w:eastAsia="zh-CN"/>
        </w:rPr>
        <w:t>一体推进美丽河湖、美丽海湾等“美丽系列”建设，</w:t>
      </w:r>
      <w:r>
        <w:rPr>
          <w:rFonts w:hint="eastAsia"/>
          <w:color w:val="auto"/>
          <w:spacing w:val="0"/>
          <w:kern w:val="0"/>
          <w:sz w:val="32"/>
          <w:szCs w:val="32"/>
          <w:highlight w:val="none"/>
          <w:u w:val="none" w:color="auto"/>
          <w:lang w:val="en-US" w:eastAsia="zh-CN"/>
        </w:rPr>
        <w:t>让蓬莱的天更蓝、山更绿、水更清、生态环境更优美。</w:t>
      </w:r>
    </w:p>
    <w:p w14:paraId="6D103D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strike w:val="0"/>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（四）凝心聚力深化改革开放。</w:t>
      </w:r>
      <w:r>
        <w:rPr>
          <w:rFonts w:hint="eastAsia"/>
          <w:color w:val="auto"/>
          <w:spacing w:val="0"/>
          <w:kern w:val="0"/>
          <w:sz w:val="32"/>
          <w:szCs w:val="32"/>
          <w:highlight w:val="none"/>
          <w:u w:val="none" w:color="auto"/>
          <w:lang w:val="en-US" w:eastAsia="zh-CN"/>
        </w:rPr>
        <w:t>围绕贯彻新发展理念，着力在增强创新能力、推动区域协调发展、优化营商环境等方面深化改革，为高质量发展提供源源不断的动力。扩大高水平对外开放，</w:t>
      </w:r>
      <w:r>
        <w:rPr>
          <w:rFonts w:hint="eastAsia"/>
          <w:strike w:val="0"/>
          <w:dstrike w:val="0"/>
          <w:color w:val="auto"/>
          <w:spacing w:val="0"/>
          <w:kern w:val="0"/>
          <w:sz w:val="32"/>
          <w:szCs w:val="32"/>
          <w:highlight w:val="none"/>
          <w:u w:val="none" w:color="auto"/>
          <w:lang w:val="en-US" w:eastAsia="zh-CN"/>
        </w:rPr>
        <w:t>深入推进交通大枢纽重大项目工程建设，强化陆海空铁协同与多式联运衔接，</w:t>
      </w:r>
      <w:r>
        <w:rPr>
          <w:rFonts w:hint="eastAsia"/>
          <w:color w:val="auto"/>
          <w:spacing w:val="0"/>
          <w:kern w:val="0"/>
          <w:sz w:val="32"/>
          <w:szCs w:val="32"/>
          <w:highlight w:val="none"/>
          <w:u w:val="none" w:color="auto"/>
          <w:lang w:val="en-US" w:eastAsia="zh-CN"/>
        </w:rPr>
        <w:t>加快构建开放型交通网络。</w:t>
      </w:r>
      <w:r>
        <w:rPr>
          <w:rFonts w:hint="eastAsia"/>
          <w:strike w:val="0"/>
          <w:dstrike w:val="0"/>
          <w:color w:val="auto"/>
          <w:spacing w:val="0"/>
          <w:kern w:val="0"/>
          <w:sz w:val="32"/>
          <w:szCs w:val="32"/>
          <w:highlight w:val="none"/>
          <w:u w:val="none" w:color="auto"/>
          <w:lang w:val="en-US" w:eastAsia="zh-CN"/>
        </w:rPr>
        <w:t>积极参与“一带一路”国际物流大通道建设，深化与RCEP国家经济合作，谋划开辟更多对外“专属航线”，</w:t>
      </w:r>
      <w:r>
        <w:rPr>
          <w:rFonts w:hint="eastAsia"/>
          <w:color w:val="auto"/>
          <w:spacing w:val="0"/>
          <w:kern w:val="0"/>
          <w:sz w:val="32"/>
          <w:szCs w:val="32"/>
          <w:highlight w:val="none"/>
          <w:u w:val="none" w:color="auto"/>
          <w:lang w:val="en-US" w:eastAsia="zh-CN"/>
        </w:rPr>
        <w:t>积极拓展外贸多元市场。以建设“烟台城市综合副中心”为核心目标，全面提升市区高质量一体化发展融合度，</w:t>
      </w:r>
      <w:r>
        <w:rPr>
          <w:rFonts w:hint="eastAsia"/>
          <w:strike w:val="0"/>
          <w:dstrike w:val="0"/>
          <w:color w:val="auto"/>
          <w:spacing w:val="0"/>
          <w:kern w:val="0"/>
          <w:sz w:val="32"/>
          <w:szCs w:val="32"/>
          <w:highlight w:val="none"/>
          <w:u w:val="none" w:color="auto"/>
          <w:lang w:val="en-US" w:eastAsia="zh-CN"/>
        </w:rPr>
        <w:t>积极参与烟台—大连“双城联动”，配合做好渤海海峡跨海通道论证研究，打造形态多样的开放高地。</w:t>
      </w:r>
    </w:p>
    <w:p w14:paraId="33EF8D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（五）凝心聚力促进共同富裕。</w:t>
      </w:r>
      <w:r>
        <w:rPr>
          <w:rFonts w:hint="eastAsia"/>
          <w:color w:val="auto"/>
          <w:spacing w:val="0"/>
          <w:kern w:val="0"/>
          <w:sz w:val="32"/>
          <w:szCs w:val="32"/>
          <w:highlight w:val="none"/>
          <w:u w:val="none" w:color="auto"/>
          <w:lang w:val="en-US" w:eastAsia="zh-CN"/>
        </w:rPr>
        <w:t>坚持以人民为中心的发展思想，在推动高质量发展过程中办好各项民生事业。强化就业优先导向，</w:t>
      </w:r>
      <w:r>
        <w:rPr>
          <w:rFonts w:hint="eastAsia"/>
          <w:strike w:val="0"/>
          <w:dstrike w:val="0"/>
          <w:color w:val="auto"/>
          <w:spacing w:val="0"/>
          <w:kern w:val="0"/>
          <w:sz w:val="32"/>
          <w:szCs w:val="32"/>
          <w:highlight w:val="none"/>
          <w:u w:val="none" w:color="auto"/>
          <w:lang w:val="en-US" w:eastAsia="zh-CN"/>
        </w:rPr>
        <w:t>加大创业支持力度，高质量充分就业迈上新台阶。实施城乡居民增收计划，</w:t>
      </w:r>
      <w:r>
        <w:rPr>
          <w:rFonts w:hint="eastAsia"/>
          <w:color w:val="auto"/>
          <w:spacing w:val="0"/>
          <w:kern w:val="0"/>
          <w:sz w:val="32"/>
          <w:szCs w:val="32"/>
          <w:highlight w:val="none"/>
          <w:u w:val="none" w:color="auto"/>
          <w:lang w:val="en-US" w:eastAsia="zh-CN"/>
        </w:rPr>
        <w:t>持续缩小城乡区域收入差距。</w:t>
      </w:r>
      <w:r>
        <w:rPr>
          <w:rFonts w:hint="eastAsia"/>
          <w:strike w:val="0"/>
          <w:dstrike w:val="0"/>
          <w:color w:val="auto"/>
          <w:spacing w:val="0"/>
          <w:kern w:val="0"/>
          <w:sz w:val="32"/>
          <w:szCs w:val="32"/>
          <w:highlight w:val="none"/>
          <w:u w:val="none" w:color="auto"/>
          <w:lang w:val="en-US" w:eastAsia="zh-CN"/>
        </w:rPr>
        <w:t>调整优化基本公共服务资源配置，</w:t>
      </w:r>
      <w:r>
        <w:rPr>
          <w:rFonts w:hint="eastAsia"/>
          <w:color w:val="auto"/>
          <w:spacing w:val="6"/>
          <w:kern w:val="0"/>
          <w:sz w:val="32"/>
          <w:szCs w:val="32"/>
          <w:highlight w:val="none"/>
          <w:u w:val="none" w:color="auto"/>
          <w:lang w:val="en-US" w:eastAsia="zh-CN"/>
        </w:rPr>
        <w:t>进一步完善教育、医疗、健康养老等体系，</w:t>
      </w:r>
      <w:r>
        <w:rPr>
          <w:rFonts w:hint="eastAsia"/>
          <w:strike w:val="0"/>
          <w:dstrike w:val="0"/>
          <w:color w:val="auto"/>
          <w:spacing w:val="0"/>
          <w:kern w:val="0"/>
          <w:sz w:val="32"/>
          <w:szCs w:val="32"/>
          <w:highlight w:val="none"/>
          <w:u w:val="none" w:color="auto"/>
          <w:lang w:val="en-US" w:eastAsia="zh-CN"/>
        </w:rPr>
        <w:t>健全与常住人口相匹配的公共资源配置机制。构建现代农业生产体系、产业体系、经营体系，</w:t>
      </w:r>
      <w:r>
        <w:rPr>
          <w:rFonts w:hint="eastAsia"/>
          <w:color w:val="auto"/>
          <w:spacing w:val="0"/>
          <w:kern w:val="0"/>
          <w:sz w:val="32"/>
          <w:szCs w:val="32"/>
          <w:highlight w:val="none"/>
          <w:u w:val="none" w:color="auto"/>
          <w:lang w:val="en-US" w:eastAsia="zh-CN"/>
        </w:rPr>
        <w:t>全面推动农业增效益、农村增活力、农民增收入。切实解决一批群众关心关注的热点、难点问题，在发展中不断增强民生福祉。</w:t>
      </w:r>
    </w:p>
    <w:p w14:paraId="6BA6ED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color w:val="auto"/>
          <w:spacing w:val="0"/>
          <w:kern w:val="0"/>
          <w:sz w:val="32"/>
          <w:szCs w:val="32"/>
          <w:highlight w:val="none"/>
          <w:u w:val="none" w:color="auto"/>
          <w:lang w:val="en-US" w:eastAsia="zh-CN"/>
        </w:rPr>
        <w:t>各位代表，民心是最大的政治，共识是奋进的动力，实干是最美的行动。我们坚信，在区委的坚强领导下，在全区人民的共同努力下，一定能够顺利完成“十五五”既定目标，推动蓬莱在高质量发展道路上再创新辉煌！</w:t>
      </w:r>
    </w:p>
    <w:p w14:paraId="3BA04B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三、2026年工作安排</w:t>
      </w:r>
    </w:p>
    <w:p w14:paraId="0355C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pacing w:val="0"/>
          <w:kern w:val="0"/>
          <w:sz w:val="32"/>
          <w:szCs w:val="32"/>
          <w:highlight w:val="none"/>
          <w:u w:val="none" w:color="auto"/>
          <w:lang w:val="en-US" w:eastAsia="zh-CN" w:bidi="ar-SA"/>
        </w:rPr>
      </w:pPr>
      <w:r>
        <w:rPr>
          <w:rFonts w:hint="eastAsia" w:ascii="仿宋_GB2312" w:hAnsi="仿宋_GB2312" w:eastAsia="仿宋_GB2312" w:cs="仿宋_GB2312"/>
          <w:color w:val="auto"/>
          <w:spacing w:val="0"/>
          <w:kern w:val="0"/>
          <w:sz w:val="32"/>
          <w:szCs w:val="32"/>
          <w:highlight w:val="none"/>
          <w:u w:val="none" w:color="auto"/>
          <w:lang w:val="en-US" w:eastAsia="zh-CN" w:bidi="ar-SA"/>
        </w:rPr>
        <w:t>五年看头年，开局是关键。2026年是开启新一轮发展的第一年,</w:t>
      </w:r>
      <w:r>
        <w:rPr>
          <w:rFonts w:hint="eastAsia" w:cs="仿宋_GB2312"/>
          <w:color w:val="auto"/>
          <w:spacing w:val="0"/>
          <w:kern w:val="0"/>
          <w:sz w:val="32"/>
          <w:szCs w:val="32"/>
          <w:highlight w:val="none"/>
          <w:u w:val="none" w:color="auto"/>
          <w:lang w:val="en-US" w:eastAsia="zh-CN" w:bidi="ar-SA"/>
        </w:rPr>
        <w:t>也</w:t>
      </w:r>
      <w:r>
        <w:rPr>
          <w:rFonts w:hint="eastAsia" w:ascii="仿宋_GB2312" w:hAnsi="仿宋_GB2312" w:eastAsia="仿宋_GB2312" w:cs="仿宋_GB2312"/>
          <w:color w:val="auto"/>
          <w:spacing w:val="0"/>
          <w:kern w:val="0"/>
          <w:sz w:val="32"/>
          <w:szCs w:val="32"/>
          <w:highlight w:val="none"/>
          <w:u w:val="none" w:color="auto"/>
          <w:lang w:val="en-US" w:eastAsia="zh-CN" w:bidi="ar-SA"/>
        </w:rPr>
        <w:t>是蓬莱乘势而上、攻坚突破的关键一年</w:t>
      </w:r>
      <w:r>
        <w:rPr>
          <w:rFonts w:hint="eastAsia" w:cs="仿宋_GB2312"/>
          <w:color w:val="auto"/>
          <w:spacing w:val="0"/>
          <w:kern w:val="0"/>
          <w:sz w:val="32"/>
          <w:szCs w:val="32"/>
          <w:highlight w:val="none"/>
          <w:u w:val="none" w:color="auto"/>
          <w:lang w:val="en-US" w:eastAsia="zh-CN" w:bidi="ar-SA"/>
        </w:rPr>
        <w:t>，</w:t>
      </w:r>
      <w:r>
        <w:rPr>
          <w:rFonts w:hint="eastAsia" w:ascii="仿宋_GB2312" w:hAnsi="仿宋_GB2312" w:eastAsia="仿宋_GB2312" w:cs="仿宋_GB2312"/>
          <w:color w:val="auto"/>
          <w:spacing w:val="0"/>
          <w:kern w:val="0"/>
          <w:sz w:val="32"/>
          <w:szCs w:val="32"/>
          <w:highlight w:val="none"/>
          <w:u w:val="none" w:color="auto"/>
          <w:lang w:val="en-US" w:eastAsia="zh-CN" w:bidi="ar-SA"/>
        </w:rPr>
        <w:t>更是本届政府完成届期目标的决战之年。区政府将坚决贯彻区委部署要求，</w:t>
      </w:r>
      <w:r>
        <w:rPr>
          <w:rFonts w:hint="eastAsia" w:cs="仿宋_GB2312"/>
          <w:color w:val="auto"/>
          <w:spacing w:val="0"/>
          <w:kern w:val="0"/>
          <w:sz w:val="32"/>
          <w:szCs w:val="32"/>
          <w:highlight w:val="none"/>
          <w:u w:val="none" w:color="auto"/>
          <w:lang w:val="en-US" w:eastAsia="zh-CN" w:bidi="ar-SA"/>
        </w:rPr>
        <w:t>以</w:t>
      </w:r>
      <w:r>
        <w:rPr>
          <w:rFonts w:hint="eastAsia" w:ascii="仿宋_GB2312" w:hAnsi="仿宋_GB2312" w:eastAsia="仿宋_GB2312" w:cs="仿宋_GB2312"/>
          <w:color w:val="auto"/>
          <w:spacing w:val="0"/>
          <w:kern w:val="0"/>
          <w:sz w:val="32"/>
          <w:szCs w:val="32"/>
          <w:highlight w:val="none"/>
          <w:u w:val="none" w:color="auto"/>
          <w:lang w:val="en-US" w:eastAsia="zh-CN" w:bidi="ar-SA"/>
        </w:rPr>
        <w:t>“攻坚克难突破年”</w:t>
      </w:r>
      <w:r>
        <w:rPr>
          <w:rFonts w:hint="eastAsia" w:cs="仿宋_GB2312"/>
          <w:color w:val="auto"/>
          <w:spacing w:val="0"/>
          <w:kern w:val="0"/>
          <w:sz w:val="32"/>
          <w:szCs w:val="32"/>
          <w:highlight w:val="none"/>
          <w:u w:val="none" w:color="auto"/>
          <w:lang w:val="en-US" w:eastAsia="zh-CN" w:bidi="ar-SA"/>
        </w:rPr>
        <w:t>为总抓手，</w:t>
      </w:r>
      <w:r>
        <w:rPr>
          <w:rFonts w:hint="eastAsia" w:ascii="仿宋_GB2312" w:hAnsi="仿宋_GB2312" w:eastAsia="仿宋_GB2312" w:cs="仿宋_GB2312"/>
          <w:color w:val="auto"/>
          <w:spacing w:val="0"/>
          <w:kern w:val="0"/>
          <w:sz w:val="32"/>
          <w:szCs w:val="32"/>
          <w:highlight w:val="none"/>
          <w:u w:val="none" w:color="auto"/>
          <w:lang w:val="en-US" w:eastAsia="zh-CN" w:bidi="ar-SA"/>
        </w:rPr>
        <w:t>凝心聚力谋发展、实干担当破难题，奋力</w:t>
      </w:r>
      <w:r>
        <w:rPr>
          <w:rFonts w:hint="eastAsia" w:cs="仿宋_GB2312"/>
          <w:color w:val="auto"/>
          <w:spacing w:val="0"/>
          <w:kern w:val="0"/>
          <w:sz w:val="32"/>
          <w:szCs w:val="32"/>
          <w:highlight w:val="none"/>
          <w:u w:val="none" w:color="auto"/>
          <w:lang w:val="en-US" w:eastAsia="zh-CN" w:bidi="ar-SA"/>
        </w:rPr>
        <w:t>打好</w:t>
      </w:r>
      <w:r>
        <w:rPr>
          <w:rFonts w:hint="eastAsia" w:ascii="仿宋_GB2312" w:hAnsi="仿宋_GB2312" w:eastAsia="仿宋_GB2312" w:cs="仿宋_GB2312"/>
          <w:color w:val="auto"/>
          <w:spacing w:val="0"/>
          <w:kern w:val="0"/>
          <w:sz w:val="32"/>
          <w:szCs w:val="32"/>
          <w:highlight w:val="none"/>
          <w:u w:val="none" w:color="auto"/>
          <w:lang w:val="en-US" w:eastAsia="zh-CN" w:bidi="ar-SA"/>
        </w:rPr>
        <w:t>开局战、</w:t>
      </w:r>
      <w:r>
        <w:rPr>
          <w:rFonts w:hint="eastAsia" w:cs="仿宋_GB2312"/>
          <w:color w:val="auto"/>
          <w:spacing w:val="0"/>
          <w:kern w:val="0"/>
          <w:sz w:val="32"/>
          <w:szCs w:val="32"/>
          <w:highlight w:val="none"/>
          <w:u w:val="none" w:color="auto"/>
          <w:lang w:val="en-US" w:eastAsia="zh-CN" w:bidi="ar-SA"/>
        </w:rPr>
        <w:t>攻坚战。</w:t>
      </w:r>
      <w:r>
        <w:rPr>
          <w:rFonts w:hint="eastAsia" w:ascii="仿宋_GB2312" w:hAnsi="仿宋_GB2312" w:eastAsia="仿宋_GB2312" w:cs="仿宋_GB2312"/>
          <w:color w:val="auto"/>
          <w:spacing w:val="0"/>
          <w:kern w:val="0"/>
          <w:sz w:val="32"/>
          <w:szCs w:val="32"/>
          <w:highlight w:val="none"/>
          <w:u w:val="none" w:color="auto"/>
          <w:lang w:val="en-US" w:eastAsia="zh-CN" w:bidi="ar-SA"/>
        </w:rPr>
        <w:t>总的要求是：</w:t>
      </w:r>
      <w:r>
        <w:rPr>
          <w:rFonts w:hint="eastAsia" w:ascii="黑体" w:hAnsi="黑体" w:eastAsia="黑体" w:cs="黑体"/>
          <w:color w:val="auto"/>
          <w:spacing w:val="0"/>
          <w:kern w:val="0"/>
          <w:sz w:val="32"/>
          <w:szCs w:val="32"/>
          <w:highlight w:val="none"/>
          <w:u w:val="none" w:color="auto"/>
          <w:lang w:val="en-US" w:eastAsia="zh-CN" w:bidi="ar-SA"/>
        </w:rPr>
        <w:t>坚持以习近平新时代中国特色社会主义思想为指导，深入贯彻党的二十大和二十届历次全会精神，全面落实中央和省委、市委、区委经济工作会议部署要求，完整准确全面贯彻新发展理念，主动服务和融入新发展格局，坚持稳中求进工作总基调，锚定“走在前、挑大梁、作贡献”使命担当，以“大枢纽、大文旅、新产业、新振兴、新城市、新福祉”为主抓手，进一步深化改革、扩大开放，更好统筹发展和安全，加快建设名副其实的“烟台城市综合副中心”，推动经济实现质的有效提升和量的合理增长，确保“十五五”开好局、起好步，全力以赴建设“新时代的人间仙境”。</w:t>
      </w:r>
    </w:p>
    <w:p w14:paraId="35708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6"/>
          <w:kern w:val="0"/>
          <w:sz w:val="32"/>
          <w:szCs w:val="32"/>
          <w:highlight w:val="none"/>
          <w:u w:val="none" w:color="auto"/>
          <w:lang w:val="en-US" w:eastAsia="zh-CN" w:bidi="ar-SA"/>
        </w:rPr>
      </w:pPr>
      <w:r>
        <w:rPr>
          <w:rFonts w:hint="eastAsia" w:ascii="仿宋_GB2312" w:hAnsi="仿宋_GB2312" w:eastAsia="仿宋_GB2312" w:cs="仿宋_GB2312"/>
          <w:color w:val="auto"/>
          <w:spacing w:val="0"/>
          <w:kern w:val="0"/>
          <w:sz w:val="32"/>
          <w:szCs w:val="32"/>
          <w:highlight w:val="none"/>
          <w:u w:val="none" w:color="auto"/>
          <w:lang w:val="en-US" w:eastAsia="zh-CN" w:bidi="ar-SA"/>
        </w:rPr>
        <w:t>综合</w:t>
      </w:r>
      <w:r>
        <w:rPr>
          <w:rFonts w:hint="eastAsia" w:ascii="仿宋_GB2312" w:hAnsi="仿宋_GB2312" w:eastAsia="仿宋_GB2312" w:cs="仿宋_GB2312"/>
          <w:color w:val="auto"/>
          <w:spacing w:val="-6"/>
          <w:kern w:val="0"/>
          <w:sz w:val="32"/>
          <w:szCs w:val="32"/>
          <w:highlight w:val="none"/>
          <w:u w:val="none" w:color="auto"/>
          <w:lang w:val="en-US" w:eastAsia="zh-CN" w:bidi="ar-SA"/>
        </w:rPr>
        <w:t>考虑各方面因素，今年经济社会发展的主要预期目标是：地区生产总值增长</w:t>
      </w:r>
      <w:r>
        <w:rPr>
          <w:rFonts w:hint="eastAsia" w:cs="仿宋_GB2312"/>
          <w:color w:val="auto"/>
          <w:spacing w:val="-6"/>
          <w:kern w:val="0"/>
          <w:sz w:val="32"/>
          <w:szCs w:val="32"/>
          <w:highlight w:val="none"/>
          <w:u w:val="none" w:color="auto"/>
          <w:lang w:val="en-US" w:eastAsia="zh-CN" w:bidi="ar-SA"/>
        </w:rPr>
        <w:t>5.6</w:t>
      </w:r>
      <w:r>
        <w:rPr>
          <w:rFonts w:hint="eastAsia" w:ascii="仿宋_GB2312" w:hAnsi="仿宋_GB2312" w:eastAsia="仿宋_GB2312" w:cs="仿宋_GB2312"/>
          <w:color w:val="auto"/>
          <w:spacing w:val="-6"/>
          <w:kern w:val="0"/>
          <w:sz w:val="32"/>
          <w:szCs w:val="32"/>
          <w:highlight w:val="none"/>
          <w:u w:val="none" w:color="auto"/>
          <w:lang w:val="en-US" w:eastAsia="zh-CN" w:bidi="ar-SA"/>
        </w:rPr>
        <w:t>%，规模以上工业增加值增长</w:t>
      </w:r>
      <w:r>
        <w:rPr>
          <w:rFonts w:hint="eastAsia" w:cs="仿宋_GB2312"/>
          <w:color w:val="auto"/>
          <w:spacing w:val="-6"/>
          <w:kern w:val="0"/>
          <w:sz w:val="32"/>
          <w:szCs w:val="32"/>
          <w:highlight w:val="none"/>
          <w:u w:val="none" w:color="auto"/>
          <w:lang w:val="en-US" w:eastAsia="zh-CN" w:bidi="ar-SA"/>
        </w:rPr>
        <w:t>8</w:t>
      </w:r>
      <w:r>
        <w:rPr>
          <w:rFonts w:hint="eastAsia" w:ascii="仿宋_GB2312" w:hAnsi="仿宋_GB2312" w:eastAsia="仿宋_GB2312" w:cs="仿宋_GB2312"/>
          <w:color w:val="auto"/>
          <w:spacing w:val="-6"/>
          <w:kern w:val="0"/>
          <w:sz w:val="32"/>
          <w:szCs w:val="32"/>
          <w:highlight w:val="none"/>
          <w:u w:val="none" w:color="auto"/>
          <w:lang w:val="en-US" w:eastAsia="zh-CN" w:bidi="ar-SA"/>
        </w:rPr>
        <w:t>%</w:t>
      </w:r>
      <w:r>
        <w:rPr>
          <w:rFonts w:hint="eastAsia" w:cs="仿宋_GB2312"/>
          <w:color w:val="auto"/>
          <w:spacing w:val="-6"/>
          <w:kern w:val="0"/>
          <w:sz w:val="32"/>
          <w:szCs w:val="32"/>
          <w:highlight w:val="none"/>
          <w:u w:val="none" w:color="auto"/>
          <w:lang w:val="en-US" w:eastAsia="zh-CN" w:bidi="ar-SA"/>
        </w:rPr>
        <w:t>以上</w:t>
      </w:r>
      <w:r>
        <w:rPr>
          <w:rFonts w:hint="eastAsia" w:ascii="仿宋_GB2312" w:hAnsi="仿宋_GB2312" w:eastAsia="仿宋_GB2312" w:cs="仿宋_GB2312"/>
          <w:color w:val="auto"/>
          <w:spacing w:val="-6"/>
          <w:kern w:val="0"/>
          <w:sz w:val="32"/>
          <w:szCs w:val="32"/>
          <w:highlight w:val="none"/>
          <w:u w:val="none" w:color="auto"/>
          <w:lang w:val="en-US" w:eastAsia="zh-CN" w:bidi="ar-SA"/>
        </w:rPr>
        <w:t>，一般公共预算收入增长</w:t>
      </w:r>
      <w:r>
        <w:rPr>
          <w:rFonts w:hint="eastAsia" w:cs="仿宋_GB2312"/>
          <w:color w:val="auto"/>
          <w:spacing w:val="-6"/>
          <w:kern w:val="0"/>
          <w:sz w:val="32"/>
          <w:szCs w:val="32"/>
          <w:highlight w:val="none"/>
          <w:u w:val="none" w:color="auto"/>
          <w:lang w:val="en-US" w:eastAsia="zh-CN" w:bidi="ar-SA"/>
        </w:rPr>
        <w:t>2</w:t>
      </w:r>
      <w:r>
        <w:rPr>
          <w:rFonts w:hint="eastAsia" w:ascii="仿宋_GB2312" w:hAnsi="仿宋_GB2312" w:eastAsia="仿宋_GB2312" w:cs="仿宋_GB2312"/>
          <w:color w:val="auto"/>
          <w:spacing w:val="-6"/>
          <w:kern w:val="0"/>
          <w:sz w:val="32"/>
          <w:szCs w:val="32"/>
          <w:highlight w:val="none"/>
          <w:u w:val="none" w:color="auto"/>
          <w:lang w:val="en-US" w:eastAsia="zh-CN" w:bidi="ar-SA"/>
        </w:rPr>
        <w:t>%</w:t>
      </w:r>
      <w:r>
        <w:rPr>
          <w:rFonts w:hint="eastAsia" w:cs="仿宋_GB2312"/>
          <w:color w:val="auto"/>
          <w:spacing w:val="-6"/>
          <w:kern w:val="0"/>
          <w:sz w:val="32"/>
          <w:szCs w:val="32"/>
          <w:highlight w:val="none"/>
          <w:u w:val="none" w:color="auto"/>
          <w:lang w:val="en-US" w:eastAsia="zh-CN" w:bidi="ar-SA"/>
        </w:rPr>
        <w:t>以上</w:t>
      </w:r>
      <w:r>
        <w:rPr>
          <w:rFonts w:hint="eastAsia" w:ascii="仿宋_GB2312" w:hAnsi="仿宋_GB2312" w:eastAsia="仿宋_GB2312" w:cs="仿宋_GB2312"/>
          <w:color w:val="auto"/>
          <w:spacing w:val="-6"/>
          <w:kern w:val="0"/>
          <w:sz w:val="32"/>
          <w:szCs w:val="32"/>
          <w:highlight w:val="none"/>
          <w:u w:val="none" w:color="auto"/>
          <w:lang w:val="en-US" w:eastAsia="zh-CN" w:bidi="ar-SA"/>
        </w:rPr>
        <w:t>，社会消费品零售总额</w:t>
      </w:r>
      <w:r>
        <w:rPr>
          <w:rFonts w:hint="eastAsia" w:cs="仿宋_GB2312"/>
          <w:color w:val="auto"/>
          <w:spacing w:val="-6"/>
          <w:kern w:val="0"/>
          <w:sz w:val="32"/>
          <w:szCs w:val="32"/>
          <w:highlight w:val="none"/>
          <w:u w:val="none" w:color="auto"/>
          <w:lang w:val="en-US" w:eastAsia="zh-CN" w:bidi="ar-SA"/>
        </w:rPr>
        <w:t>增长6.2%</w:t>
      </w:r>
      <w:r>
        <w:rPr>
          <w:rFonts w:hint="eastAsia" w:ascii="仿宋_GB2312" w:hAnsi="仿宋_GB2312" w:eastAsia="仿宋_GB2312" w:cs="仿宋_GB2312"/>
          <w:color w:val="auto"/>
          <w:spacing w:val="-6"/>
          <w:kern w:val="0"/>
          <w:sz w:val="32"/>
          <w:szCs w:val="32"/>
          <w:highlight w:val="none"/>
          <w:u w:val="none" w:color="auto"/>
          <w:lang w:val="en-US" w:eastAsia="zh-CN" w:bidi="ar-SA"/>
        </w:rPr>
        <w:t>，固定</w:t>
      </w:r>
      <w:r>
        <w:rPr>
          <w:rFonts w:hint="eastAsia" w:ascii="仿宋_GB2312" w:hAnsi="仿宋_GB2312" w:eastAsia="仿宋_GB2312" w:cs="仿宋_GB2312"/>
          <w:color w:val="auto"/>
          <w:spacing w:val="0"/>
          <w:kern w:val="0"/>
          <w:sz w:val="32"/>
          <w:szCs w:val="32"/>
          <w:highlight w:val="none"/>
          <w:u w:val="none" w:color="auto"/>
          <w:lang w:val="en-US" w:eastAsia="zh-CN" w:bidi="ar-SA"/>
        </w:rPr>
        <w:t>资产投资</w:t>
      </w:r>
      <w:r>
        <w:rPr>
          <w:rFonts w:hint="eastAsia" w:cs="仿宋_GB2312"/>
          <w:color w:val="auto"/>
          <w:spacing w:val="0"/>
          <w:kern w:val="0"/>
          <w:sz w:val="32"/>
          <w:szCs w:val="32"/>
          <w:highlight w:val="none"/>
          <w:u w:val="none" w:color="auto"/>
          <w:lang w:val="en-US" w:eastAsia="zh-CN" w:bidi="ar-SA"/>
        </w:rPr>
        <w:t>保持平稳</w:t>
      </w:r>
      <w:r>
        <w:rPr>
          <w:rFonts w:hint="eastAsia" w:ascii="仿宋_GB2312" w:hAnsi="仿宋_GB2312" w:eastAsia="仿宋_GB2312" w:cs="仿宋_GB2312"/>
          <w:color w:val="auto"/>
          <w:spacing w:val="0"/>
          <w:kern w:val="0"/>
          <w:sz w:val="32"/>
          <w:szCs w:val="32"/>
          <w:highlight w:val="none"/>
          <w:u w:val="none" w:color="auto"/>
          <w:lang w:val="en-US" w:eastAsia="zh-CN" w:bidi="ar-SA"/>
        </w:rPr>
        <w:t>，外资外贸</w:t>
      </w:r>
      <w:r>
        <w:rPr>
          <w:rFonts w:hint="eastAsia" w:cs="仿宋_GB2312"/>
          <w:color w:val="auto"/>
          <w:spacing w:val="0"/>
          <w:kern w:val="0"/>
          <w:sz w:val="32"/>
          <w:szCs w:val="32"/>
          <w:highlight w:val="none"/>
          <w:u w:val="none" w:color="auto"/>
          <w:lang w:val="en-US" w:eastAsia="zh-CN" w:bidi="ar-SA"/>
        </w:rPr>
        <w:t>促</w:t>
      </w:r>
      <w:r>
        <w:rPr>
          <w:rFonts w:hint="eastAsia" w:ascii="仿宋_GB2312" w:hAnsi="仿宋_GB2312" w:eastAsia="仿宋_GB2312" w:cs="仿宋_GB2312"/>
          <w:color w:val="auto"/>
          <w:spacing w:val="0"/>
          <w:kern w:val="0"/>
          <w:sz w:val="32"/>
          <w:szCs w:val="32"/>
          <w:highlight w:val="none"/>
          <w:u w:val="none" w:color="auto"/>
          <w:lang w:val="en-US" w:eastAsia="zh-CN" w:bidi="ar-SA"/>
        </w:rPr>
        <w:t>稳提质</w:t>
      </w:r>
      <w:r>
        <w:rPr>
          <w:rFonts w:hint="eastAsia" w:cs="仿宋_GB2312"/>
          <w:color w:val="auto"/>
          <w:spacing w:val="0"/>
          <w:kern w:val="0"/>
          <w:sz w:val="32"/>
          <w:szCs w:val="32"/>
          <w:highlight w:val="none"/>
          <w:u w:val="none" w:color="auto"/>
          <w:lang w:val="en-US" w:eastAsia="zh-CN" w:bidi="ar-SA"/>
        </w:rPr>
        <w:t>，</w:t>
      </w:r>
      <w:r>
        <w:rPr>
          <w:rFonts w:hint="eastAsia" w:ascii="仿宋_GB2312" w:hAnsi="仿宋_GB2312" w:eastAsia="仿宋_GB2312" w:cs="仿宋_GB2312"/>
          <w:color w:val="auto"/>
          <w:spacing w:val="0"/>
          <w:kern w:val="0"/>
          <w:sz w:val="32"/>
          <w:szCs w:val="32"/>
          <w:highlight w:val="none"/>
          <w:u w:val="none" w:color="auto"/>
          <w:lang w:val="en-US" w:eastAsia="zh-CN" w:bidi="ar-SA"/>
        </w:rPr>
        <w:t>居民人均可支配收入</w:t>
      </w:r>
      <w:r>
        <w:rPr>
          <w:rFonts w:hint="eastAsia" w:cs="仿宋_GB2312"/>
          <w:color w:val="auto"/>
          <w:spacing w:val="0"/>
          <w:kern w:val="0"/>
          <w:sz w:val="32"/>
          <w:szCs w:val="32"/>
          <w:highlight w:val="none"/>
          <w:u w:val="none" w:color="auto"/>
          <w:lang w:val="en-US" w:eastAsia="zh-CN" w:bidi="ar-SA"/>
        </w:rPr>
        <w:t>与</w:t>
      </w:r>
      <w:r>
        <w:rPr>
          <w:rFonts w:hint="eastAsia" w:cs="仿宋_GB2312"/>
          <w:color w:val="auto"/>
          <w:spacing w:val="-6"/>
          <w:kern w:val="0"/>
          <w:sz w:val="32"/>
          <w:szCs w:val="32"/>
          <w:highlight w:val="none"/>
          <w:u w:val="none" w:color="auto"/>
          <w:lang w:val="en-US" w:eastAsia="zh-CN" w:bidi="ar-SA"/>
        </w:rPr>
        <w:t>经济增长同步</w:t>
      </w:r>
      <w:r>
        <w:rPr>
          <w:rFonts w:hint="eastAsia" w:ascii="仿宋_GB2312" w:hAnsi="仿宋_GB2312" w:eastAsia="仿宋_GB2312" w:cs="仿宋_GB2312"/>
          <w:color w:val="auto"/>
          <w:spacing w:val="-6"/>
          <w:kern w:val="0"/>
          <w:sz w:val="32"/>
          <w:szCs w:val="32"/>
          <w:highlight w:val="none"/>
          <w:u w:val="none" w:color="auto"/>
          <w:lang w:val="en-US" w:eastAsia="zh-CN" w:bidi="ar-SA"/>
        </w:rPr>
        <w:t>，</w:t>
      </w:r>
      <w:r>
        <w:rPr>
          <w:rFonts w:hint="eastAsia" w:cs="仿宋_GB2312"/>
          <w:color w:val="auto"/>
          <w:spacing w:val="-6"/>
          <w:kern w:val="0"/>
          <w:sz w:val="32"/>
          <w:szCs w:val="32"/>
          <w:highlight w:val="none"/>
          <w:u w:val="none" w:color="auto"/>
          <w:lang w:val="en-US" w:eastAsia="zh-CN" w:bidi="ar-SA"/>
        </w:rPr>
        <w:t>居民消费价格保持合理水平，</w:t>
      </w:r>
      <w:r>
        <w:rPr>
          <w:rFonts w:hint="eastAsia" w:ascii="仿宋_GB2312" w:hAnsi="仿宋_GB2312" w:eastAsia="仿宋_GB2312" w:cs="仿宋_GB2312"/>
          <w:color w:val="auto"/>
          <w:spacing w:val="-6"/>
          <w:kern w:val="0"/>
          <w:sz w:val="32"/>
          <w:szCs w:val="32"/>
          <w:highlight w:val="none"/>
          <w:u w:val="none" w:color="auto"/>
          <w:lang w:val="en-US" w:eastAsia="zh-CN" w:bidi="ar-SA"/>
        </w:rPr>
        <w:t>全面完成上级下达的约束性指标</w:t>
      </w:r>
      <w:r>
        <w:rPr>
          <w:rFonts w:hint="eastAsia" w:cs="仿宋_GB2312"/>
          <w:color w:val="auto"/>
          <w:spacing w:val="-6"/>
          <w:kern w:val="0"/>
          <w:sz w:val="32"/>
          <w:szCs w:val="32"/>
          <w:highlight w:val="none"/>
          <w:u w:val="none" w:color="auto"/>
          <w:lang w:val="en-US" w:eastAsia="zh-CN" w:bidi="ar-SA"/>
        </w:rPr>
        <w:t>和环境质量改善目标</w:t>
      </w:r>
      <w:r>
        <w:rPr>
          <w:rFonts w:hint="eastAsia" w:ascii="仿宋_GB2312" w:hAnsi="仿宋_GB2312" w:eastAsia="仿宋_GB2312" w:cs="仿宋_GB2312"/>
          <w:color w:val="auto"/>
          <w:spacing w:val="-6"/>
          <w:kern w:val="0"/>
          <w:sz w:val="32"/>
          <w:szCs w:val="32"/>
          <w:highlight w:val="none"/>
          <w:u w:val="none" w:color="auto"/>
          <w:lang w:val="en-US" w:eastAsia="zh-CN" w:bidi="ar-SA"/>
        </w:rPr>
        <w:t>。</w:t>
      </w:r>
      <w:r>
        <w:rPr>
          <w:rFonts w:hint="eastAsia" w:cs="仿宋_GB2312"/>
          <w:color w:val="auto"/>
          <w:spacing w:val="-6"/>
          <w:kern w:val="0"/>
          <w:sz w:val="32"/>
          <w:szCs w:val="32"/>
          <w:highlight w:val="none"/>
          <w:u w:val="none" w:color="auto"/>
          <w:lang w:val="en-US" w:eastAsia="zh-CN" w:bidi="ar-SA"/>
        </w:rPr>
        <w:t>重点</w:t>
      </w:r>
      <w:r>
        <w:rPr>
          <w:rFonts w:hint="eastAsia" w:ascii="仿宋_GB2312" w:hAnsi="仿宋_GB2312" w:eastAsia="仿宋_GB2312" w:cs="仿宋_GB2312"/>
          <w:color w:val="auto"/>
          <w:spacing w:val="-6"/>
          <w:kern w:val="0"/>
          <w:sz w:val="32"/>
          <w:szCs w:val="32"/>
          <w:highlight w:val="none"/>
          <w:u w:val="none" w:color="auto"/>
          <w:lang w:val="en-US" w:eastAsia="zh-CN" w:bidi="ar-SA"/>
        </w:rPr>
        <w:t>抓好八个方面</w:t>
      </w:r>
      <w:r>
        <w:rPr>
          <w:rFonts w:hint="eastAsia" w:cs="仿宋_GB2312"/>
          <w:color w:val="auto"/>
          <w:spacing w:val="-6"/>
          <w:kern w:val="0"/>
          <w:sz w:val="32"/>
          <w:szCs w:val="32"/>
          <w:highlight w:val="none"/>
          <w:u w:val="none" w:color="auto"/>
          <w:lang w:val="en-US" w:eastAsia="zh-CN" w:bidi="ar-SA"/>
        </w:rPr>
        <w:t>攻坚突破</w:t>
      </w:r>
      <w:r>
        <w:rPr>
          <w:rFonts w:hint="eastAsia" w:ascii="仿宋_GB2312" w:hAnsi="仿宋_GB2312" w:eastAsia="仿宋_GB2312" w:cs="仿宋_GB2312"/>
          <w:color w:val="auto"/>
          <w:spacing w:val="-6"/>
          <w:kern w:val="0"/>
          <w:sz w:val="32"/>
          <w:szCs w:val="32"/>
          <w:highlight w:val="none"/>
          <w:u w:val="none" w:color="auto"/>
          <w:lang w:val="en-US" w:eastAsia="zh-CN" w:bidi="ar-SA"/>
        </w:rPr>
        <w:t>：</w:t>
      </w:r>
    </w:p>
    <w:p w14:paraId="33E55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s="仿宋_GB2312"/>
          <w:color w:val="auto"/>
          <w:spacing w:val="0"/>
          <w:kern w:val="0"/>
          <w:sz w:val="32"/>
          <w:szCs w:val="32"/>
          <w:highlight w:val="none"/>
          <w:u w:val="none" w:color="auto"/>
          <w:lang w:val="en-US" w:eastAsia="zh-CN" w:bidi="ar-SA"/>
        </w:rPr>
      </w:pPr>
      <w:r>
        <w:rPr>
          <w:rFonts w:hint="eastAsia" w:ascii="楷体_GB2312" w:hAnsi="楷体_GB2312" w:eastAsia="楷体_GB2312" w:cs="楷体_GB2312"/>
          <w:color w:val="auto"/>
          <w:spacing w:val="0"/>
          <w:kern w:val="0"/>
          <w:sz w:val="32"/>
          <w:szCs w:val="32"/>
          <w:highlight w:val="none"/>
          <w:u w:val="none" w:color="auto"/>
          <w:lang w:val="en-US" w:eastAsia="zh-CN"/>
        </w:rPr>
        <w:t>（一）矢志不渝在构建开放互通大枢纽上攻坚突破。</w:t>
      </w:r>
      <w:r>
        <w:rPr>
          <w:rFonts w:hint="eastAsia" w:cs="仿宋_GB2312"/>
          <w:color w:val="auto"/>
          <w:spacing w:val="0"/>
          <w:kern w:val="0"/>
          <w:sz w:val="32"/>
          <w:szCs w:val="32"/>
          <w:highlight w:val="none"/>
          <w:u w:val="none" w:color="auto"/>
          <w:lang w:val="en-US" w:eastAsia="zh-CN" w:bidi="ar-SA"/>
        </w:rPr>
        <w:t>放大海陆空铁资源禀赋优势，着力构建区域融合、衔接顺畅、多式联运的综合交通枢纽体系，为区域高质量发展筑牢交通支撑。</w:t>
      </w:r>
    </w:p>
    <w:p w14:paraId="5F15A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加快完善立体交通网络。</w:t>
      </w:r>
      <w:r>
        <w:rPr>
          <w:rFonts w:hint="eastAsia"/>
          <w:color w:val="auto"/>
          <w:spacing w:val="0"/>
          <w:kern w:val="0"/>
          <w:sz w:val="32"/>
          <w:szCs w:val="32"/>
          <w:highlight w:val="none"/>
          <w:u w:val="none" w:color="auto"/>
          <w:lang w:val="en-US" w:eastAsia="zh-CN"/>
        </w:rPr>
        <w:t>坚持系统观念，以“外联内畅”为目标，谋划建设一批海陆空铁重大交通项目。聚力港口能级提升，全力推动30万吨深水大港总体规划论证，</w:t>
      </w:r>
      <w:r>
        <w:rPr>
          <w:rFonts w:hint="eastAsia"/>
          <w:strike w:val="0"/>
          <w:dstrike w:val="0"/>
          <w:color w:val="auto"/>
          <w:spacing w:val="0"/>
          <w:kern w:val="0"/>
          <w:sz w:val="32"/>
          <w:szCs w:val="32"/>
          <w:highlight w:val="none"/>
          <w:u w:val="none" w:color="auto"/>
          <w:lang w:val="en-US" w:eastAsia="zh-CN"/>
        </w:rPr>
        <w:t>重点发展原油储运、汽车出口等业务</w:t>
      </w:r>
      <w:r>
        <w:rPr>
          <w:rFonts w:hint="eastAsia"/>
          <w:color w:val="auto"/>
          <w:spacing w:val="0"/>
          <w:kern w:val="0"/>
          <w:sz w:val="32"/>
          <w:szCs w:val="32"/>
          <w:highlight w:val="none"/>
          <w:u w:val="none" w:color="auto"/>
          <w:lang w:val="en-US" w:eastAsia="zh-CN"/>
        </w:rPr>
        <w:t>；稳步推进栾家口港区10万吨级航道前期工作、西防波堤及蓬莱港9#泊位升级改造</w:t>
      </w:r>
      <w:r>
        <w:rPr>
          <w:rFonts w:hint="eastAsia"/>
          <w:strike w:val="0"/>
          <w:dstrike w:val="0"/>
          <w:color w:val="auto"/>
          <w:spacing w:val="0"/>
          <w:kern w:val="0"/>
          <w:sz w:val="32"/>
          <w:szCs w:val="32"/>
          <w:highlight w:val="none"/>
          <w:u w:val="none" w:color="auto"/>
          <w:lang w:val="en-US" w:eastAsia="zh-CN"/>
        </w:rPr>
        <w:t>，全面提升港口综合吞吐能力。</w:t>
      </w:r>
      <w:r>
        <w:rPr>
          <w:rFonts w:hint="eastAsia"/>
          <w:color w:val="auto"/>
          <w:spacing w:val="0"/>
          <w:kern w:val="0"/>
          <w:sz w:val="32"/>
          <w:szCs w:val="32"/>
          <w:highlight w:val="none"/>
          <w:u w:val="none" w:color="auto"/>
          <w:lang w:val="en-US" w:eastAsia="zh-CN"/>
        </w:rPr>
        <w:t>聚力路网提档升级，启动G228丹东线蓬莱段改建工可研编制</w:t>
      </w:r>
      <w:r>
        <w:rPr>
          <w:rFonts w:hint="eastAsia"/>
          <w:strike w:val="0"/>
          <w:dstrike w:val="0"/>
          <w:color w:val="auto"/>
          <w:spacing w:val="0"/>
          <w:kern w:val="0"/>
          <w:sz w:val="32"/>
          <w:szCs w:val="32"/>
          <w:highlight w:val="none"/>
          <w:u w:val="none" w:color="auto"/>
          <w:lang w:val="en-US" w:eastAsia="zh-CN"/>
        </w:rPr>
        <w:t>，逐步打开城市向南发展空间</w:t>
      </w:r>
      <w:r>
        <w:rPr>
          <w:rFonts w:hint="eastAsia"/>
          <w:color w:val="auto"/>
          <w:spacing w:val="0"/>
          <w:kern w:val="0"/>
          <w:sz w:val="32"/>
          <w:szCs w:val="32"/>
          <w:highlight w:val="none"/>
          <w:u w:val="none" w:color="auto"/>
          <w:lang w:val="en-US" w:eastAsia="zh-CN"/>
        </w:rPr>
        <w:t>；配合完成荣乌高速烟蓬段改扩建工程，</w:t>
      </w:r>
      <w:r>
        <w:rPr>
          <w:rFonts w:hint="eastAsia"/>
          <w:strike w:val="0"/>
          <w:dstrike w:val="0"/>
          <w:color w:val="auto"/>
          <w:spacing w:val="0"/>
          <w:kern w:val="0"/>
          <w:sz w:val="32"/>
          <w:szCs w:val="32"/>
          <w:highlight w:val="none"/>
          <w:u w:val="none" w:color="auto"/>
          <w:lang w:val="en-US" w:eastAsia="zh-CN"/>
        </w:rPr>
        <w:t>进一步拉近与烟台主城区的时空距离</w:t>
      </w:r>
      <w:r>
        <w:rPr>
          <w:rFonts w:hint="eastAsia"/>
          <w:color w:val="auto"/>
          <w:spacing w:val="0"/>
          <w:kern w:val="0"/>
          <w:sz w:val="32"/>
          <w:szCs w:val="32"/>
          <w:highlight w:val="none"/>
          <w:u w:val="none" w:color="auto"/>
          <w:lang w:val="en-US" w:eastAsia="zh-CN"/>
        </w:rPr>
        <w:t>；加快县乡村三级公路建设，</w:t>
      </w:r>
      <w:r>
        <w:rPr>
          <w:rFonts w:hint="eastAsia"/>
          <w:strike w:val="0"/>
          <w:dstrike w:val="0"/>
          <w:color w:val="auto"/>
          <w:spacing w:val="0"/>
          <w:kern w:val="0"/>
          <w:sz w:val="32"/>
          <w:szCs w:val="32"/>
          <w:highlight w:val="none"/>
          <w:u w:val="none" w:color="auto"/>
          <w:lang w:val="en-US" w:eastAsia="zh-CN"/>
        </w:rPr>
        <w:t>实施季中路等7项道路改造工程，</w:t>
      </w:r>
      <w:r>
        <w:rPr>
          <w:rFonts w:hint="eastAsia"/>
          <w:color w:val="auto"/>
          <w:spacing w:val="0"/>
          <w:kern w:val="0"/>
          <w:sz w:val="32"/>
          <w:szCs w:val="32"/>
          <w:highlight w:val="none"/>
          <w:u w:val="none" w:color="auto"/>
          <w:lang w:val="en-US" w:eastAsia="zh-CN"/>
        </w:rPr>
        <w:t>为交通大枢纽建设向农村延伸打下坚实基础。</w:t>
      </w:r>
    </w:p>
    <w:p w14:paraId="496C8E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strike w:val="0"/>
          <w:dstrike w:val="0"/>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强化多式联运与智慧赋能</w:t>
      </w:r>
      <w:r>
        <w:rPr>
          <w:rFonts w:hint="eastAsia"/>
          <w:color w:val="auto"/>
          <w:spacing w:val="0"/>
          <w:kern w:val="0"/>
          <w:sz w:val="32"/>
          <w:szCs w:val="32"/>
          <w:highlight w:val="none"/>
          <w:u w:val="none" w:color="auto"/>
          <w:lang w:val="en-US" w:eastAsia="zh-CN"/>
        </w:rPr>
        <w:t>。牢牢把握“联通性”这一关键，打通堵点、连接断点，</w:t>
      </w:r>
      <w:r>
        <w:rPr>
          <w:rFonts w:hint="eastAsia"/>
          <w:strike w:val="0"/>
          <w:dstrike w:val="0"/>
          <w:color w:val="auto"/>
          <w:spacing w:val="0"/>
          <w:kern w:val="0"/>
          <w:sz w:val="32"/>
          <w:szCs w:val="32"/>
          <w:highlight w:val="none"/>
          <w:u w:val="none" w:color="auto"/>
          <w:lang w:val="en-US" w:eastAsia="zh-CN"/>
        </w:rPr>
        <w:t>加快推动综合交通枢纽从“单点停靠”向“功能复合”转型，</w:t>
      </w:r>
      <w:r>
        <w:rPr>
          <w:rFonts w:hint="eastAsia"/>
          <w:color w:val="auto"/>
          <w:spacing w:val="0"/>
          <w:kern w:val="0"/>
          <w:sz w:val="32"/>
          <w:szCs w:val="32"/>
          <w:highlight w:val="none"/>
          <w:u w:val="none" w:color="auto"/>
          <w:lang w:val="en-US" w:eastAsia="zh-CN"/>
        </w:rPr>
        <w:t>大力发展多式联运，</w:t>
      </w:r>
      <w:r>
        <w:rPr>
          <w:rFonts w:hint="eastAsia"/>
          <w:strike w:val="0"/>
          <w:dstrike w:val="0"/>
          <w:color w:val="auto"/>
          <w:spacing w:val="0"/>
          <w:kern w:val="0"/>
          <w:sz w:val="32"/>
          <w:szCs w:val="32"/>
          <w:highlight w:val="none"/>
          <w:u w:val="none" w:color="auto"/>
          <w:lang w:val="en-US" w:eastAsia="zh-CN"/>
        </w:rPr>
        <w:t>切实提升综合运输网络的协同效率和辐射能力。</w:t>
      </w:r>
      <w:r>
        <w:rPr>
          <w:rFonts w:hint="eastAsia"/>
          <w:color w:val="auto"/>
          <w:spacing w:val="0"/>
          <w:kern w:val="0"/>
          <w:sz w:val="32"/>
          <w:szCs w:val="32"/>
          <w:highlight w:val="none"/>
          <w:u w:val="none" w:color="auto"/>
          <w:lang w:val="en-US" w:eastAsia="zh-CN"/>
        </w:rPr>
        <w:t>依托蓬莱港、蓬莱国际机场、龙烟铁路，</w:t>
      </w:r>
      <w:r>
        <w:rPr>
          <w:rFonts w:hint="eastAsia"/>
          <w:color w:val="auto"/>
          <w:spacing w:val="-6"/>
          <w:kern w:val="0"/>
          <w:sz w:val="32"/>
          <w:szCs w:val="32"/>
          <w:highlight w:val="none"/>
          <w:u w:val="none" w:color="auto"/>
          <w:lang w:val="en-US" w:eastAsia="zh-CN"/>
        </w:rPr>
        <w:t>大力发展高端装备、冷链、跨境电商等高附加值货物的“陆海联运”</w:t>
      </w:r>
      <w:r>
        <w:rPr>
          <w:rFonts w:hint="eastAsia"/>
          <w:color w:val="auto"/>
          <w:spacing w:val="0"/>
          <w:kern w:val="0"/>
          <w:sz w:val="32"/>
          <w:szCs w:val="32"/>
          <w:highlight w:val="none"/>
          <w:u w:val="none" w:color="auto"/>
          <w:lang w:val="en-US" w:eastAsia="zh-CN"/>
        </w:rPr>
        <w:t>“空陆联运”，</w:t>
      </w:r>
      <w:r>
        <w:rPr>
          <w:rFonts w:hint="eastAsia"/>
          <w:strike w:val="0"/>
          <w:dstrike w:val="0"/>
          <w:color w:val="auto"/>
          <w:spacing w:val="0"/>
          <w:kern w:val="0"/>
          <w:sz w:val="32"/>
          <w:szCs w:val="32"/>
          <w:highlight w:val="none"/>
          <w:u w:val="none" w:color="auto"/>
          <w:lang w:val="en-US" w:eastAsia="zh-CN"/>
        </w:rPr>
        <w:t>探索开辟更多服务于RCEP及“一带一路”的跨境物流新通道。</w:t>
      </w:r>
      <w:r>
        <w:rPr>
          <w:rFonts w:hint="eastAsia"/>
          <w:color w:val="auto"/>
          <w:spacing w:val="0"/>
          <w:kern w:val="0"/>
          <w:sz w:val="32"/>
          <w:szCs w:val="32"/>
          <w:highlight w:val="none"/>
          <w:u w:val="none" w:color="auto"/>
          <w:lang w:val="en-US" w:eastAsia="zh-CN"/>
        </w:rPr>
        <w:t>加快推进蓬莱东港疏港铁路规划建设，着力完善“港口+公路+铁路”的集疏运体系。大力发展智慧交通，</w:t>
      </w:r>
      <w:r>
        <w:rPr>
          <w:rFonts w:hint="eastAsia"/>
          <w:strike w:val="0"/>
          <w:dstrike w:val="0"/>
          <w:color w:val="auto"/>
          <w:spacing w:val="0"/>
          <w:kern w:val="0"/>
          <w:sz w:val="32"/>
          <w:szCs w:val="32"/>
          <w:highlight w:val="none"/>
          <w:u w:val="none" w:color="auto"/>
          <w:lang w:val="en-US" w:eastAsia="zh-CN"/>
        </w:rPr>
        <w:t>深化数据共享，</w:t>
      </w:r>
      <w:r>
        <w:rPr>
          <w:rFonts w:hint="eastAsia"/>
          <w:color w:val="auto"/>
          <w:spacing w:val="0"/>
          <w:kern w:val="0"/>
          <w:sz w:val="32"/>
          <w:szCs w:val="32"/>
          <w:highlight w:val="none"/>
          <w:u w:val="none" w:color="auto"/>
          <w:lang w:val="en-US" w:eastAsia="zh-CN"/>
        </w:rPr>
        <w:t>推动人工智能、新一代信息技术、物联网、大数据等前沿技术和交通运输跨领域交叉融合</w:t>
      </w:r>
      <w:r>
        <w:rPr>
          <w:rFonts w:hint="eastAsia"/>
          <w:strike w:val="0"/>
          <w:dstrike w:val="0"/>
          <w:color w:val="auto"/>
          <w:spacing w:val="0"/>
          <w:kern w:val="0"/>
          <w:sz w:val="32"/>
          <w:szCs w:val="32"/>
          <w:highlight w:val="none"/>
          <w:u w:val="none" w:color="auto"/>
          <w:lang w:val="en-US" w:eastAsia="zh-CN"/>
        </w:rPr>
        <w:t>，推动港口作业智能化、管理可视化升级。</w:t>
      </w:r>
    </w:p>
    <w:p w14:paraId="59119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s="仿宋_GB2312"/>
          <w:color w:val="auto"/>
          <w:spacing w:val="0"/>
          <w:kern w:val="0"/>
          <w:sz w:val="32"/>
          <w:szCs w:val="32"/>
          <w:highlight w:val="none"/>
          <w:u w:val="none" w:color="auto"/>
          <w:lang w:val="en-US" w:eastAsia="zh-CN" w:bidi="ar-SA"/>
        </w:rPr>
      </w:pPr>
      <w:r>
        <w:rPr>
          <w:rFonts w:hint="eastAsia" w:ascii="黑体" w:hAnsi="黑体" w:eastAsia="黑体" w:cs="黑体"/>
          <w:color w:val="auto"/>
          <w:spacing w:val="0"/>
          <w:kern w:val="0"/>
          <w:sz w:val="32"/>
          <w:szCs w:val="32"/>
          <w:highlight w:val="none"/>
          <w:u w:val="none" w:color="auto"/>
          <w:lang w:val="en-US" w:eastAsia="zh-CN"/>
        </w:rPr>
        <w:t>促进多业深度融合发展。</w:t>
      </w:r>
      <w:r>
        <w:rPr>
          <w:rFonts w:hint="eastAsia" w:cs="仿宋_GB2312"/>
          <w:color w:val="auto"/>
          <w:spacing w:val="0"/>
          <w:kern w:val="0"/>
          <w:sz w:val="32"/>
          <w:szCs w:val="32"/>
          <w:highlight w:val="none"/>
          <w:u w:val="none" w:color="auto"/>
          <w:lang w:val="en-US" w:eastAsia="zh-CN" w:bidi="ar-SA"/>
        </w:rPr>
        <w:t>坚持“交通+产业”赋能发展理念，</w:t>
      </w:r>
      <w:r>
        <w:rPr>
          <w:rFonts w:hint="eastAsia"/>
          <w:strike w:val="0"/>
          <w:dstrike w:val="0"/>
          <w:color w:val="auto"/>
          <w:spacing w:val="0"/>
          <w:kern w:val="0"/>
          <w:sz w:val="32"/>
          <w:szCs w:val="32"/>
          <w:highlight w:val="none"/>
          <w:u w:val="none" w:color="auto"/>
          <w:lang w:val="en-US" w:eastAsia="zh-CN"/>
        </w:rPr>
        <w:t>大力发展现代服务业，</w:t>
      </w:r>
      <w:r>
        <w:rPr>
          <w:rFonts w:hint="eastAsia" w:cs="仿宋_GB2312"/>
          <w:color w:val="auto"/>
          <w:spacing w:val="0"/>
          <w:kern w:val="0"/>
          <w:sz w:val="32"/>
          <w:szCs w:val="32"/>
          <w:highlight w:val="none"/>
          <w:u w:val="none" w:color="auto"/>
          <w:lang w:val="en-US" w:eastAsia="zh-CN" w:bidi="ar-SA"/>
        </w:rPr>
        <w:t>促进跨方式、跨区域、跨领域融合联动，</w:t>
      </w:r>
      <w:r>
        <w:rPr>
          <w:rFonts w:hint="eastAsia"/>
          <w:strike w:val="0"/>
          <w:dstrike w:val="0"/>
          <w:color w:val="auto"/>
          <w:spacing w:val="0"/>
          <w:kern w:val="0"/>
          <w:sz w:val="32"/>
          <w:szCs w:val="32"/>
          <w:highlight w:val="none"/>
          <w:u w:val="none" w:color="auto"/>
          <w:lang w:val="en-US" w:eastAsia="zh-CN"/>
        </w:rPr>
        <w:t>推动交通优势转化为产业胜势。</w:t>
      </w:r>
      <w:r>
        <w:rPr>
          <w:rFonts w:hint="eastAsia"/>
          <w:color w:val="auto"/>
          <w:spacing w:val="0"/>
          <w:kern w:val="0"/>
          <w:sz w:val="32"/>
          <w:szCs w:val="32"/>
          <w:highlight w:val="none"/>
          <w:u w:val="none" w:color="auto"/>
          <w:lang w:val="en-US" w:eastAsia="zh-CN"/>
        </w:rPr>
        <w:t>深度嵌入蓬莱国际机场发展布局，在保税仓储、航空旅游、蓬莱仙品展销等方面开展广泛合作。</w:t>
      </w:r>
      <w:r>
        <w:rPr>
          <w:rFonts w:hint="eastAsia" w:cs="仿宋_GB2312"/>
          <w:color w:val="auto"/>
          <w:spacing w:val="0"/>
          <w:kern w:val="0"/>
          <w:sz w:val="32"/>
          <w:szCs w:val="32"/>
          <w:highlight w:val="none"/>
          <w:u w:val="none" w:color="auto"/>
          <w:lang w:val="en-US" w:eastAsia="zh-CN" w:bidi="ar-SA"/>
        </w:rPr>
        <w:t>抢抓低空经济发展机遇，完成沙河口机场向卧龙机场转场，积极探索低空旅游、无人机物流、农林作业、应急保障等应用场景。壮大现代港航服务业，加快推进芝罘港省际客滚、蓬长客港陆岛功能向蓬莱东港区迁移，打造集城际交通、旅游集散于一体的现代化“海上会客厅”。高标准完善蓬莱高铁站周边服务配套功能，提升游客便捷体验与市场吸引力。</w:t>
      </w:r>
    </w:p>
    <w:p w14:paraId="2293C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（二）矢志不渝在深耕协同融合大文旅上攻坚突破。</w:t>
      </w:r>
      <w:r>
        <w:rPr>
          <w:rFonts w:hint="eastAsia"/>
          <w:color w:val="auto"/>
          <w:spacing w:val="0"/>
          <w:kern w:val="0"/>
          <w:sz w:val="32"/>
          <w:szCs w:val="32"/>
          <w:highlight w:val="none"/>
          <w:u w:val="none" w:color="auto"/>
          <w:lang w:val="en-US" w:eastAsia="zh-CN"/>
        </w:rPr>
        <w:t>坚持保护修缮与开发利用并重，突出“神仙生活蓬莱湾”品牌引领，深化文旅资源整合，创新消费产品供给，提升公共服务水平，加快打造具有国际影响力的旅游度假区。</w:t>
      </w:r>
    </w:p>
    <w:p w14:paraId="7A21E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扎实推进历史文化街区改造。</w:t>
      </w:r>
      <w:r>
        <w:rPr>
          <w:rFonts w:hint="eastAsia"/>
          <w:color w:val="auto"/>
          <w:spacing w:val="-6"/>
          <w:kern w:val="0"/>
          <w:sz w:val="32"/>
          <w:szCs w:val="32"/>
          <w:highlight w:val="none"/>
          <w:u w:val="none" w:color="auto"/>
          <w:lang w:val="en-US" w:eastAsia="zh-CN"/>
        </w:rPr>
        <w:t>树立“城区就是景区”理念，将戚继光故里、西关、万寿3处省级历史文化街区保护提升与画河整治、旅游开发有机结合，对上水门至入海口约70公顷区域统筹谋划、一体规划、梯次推进，聚力建设“服务蓬莱、代表烟台”的</w:t>
      </w:r>
      <w:r>
        <w:rPr>
          <w:rFonts w:hint="eastAsia"/>
          <w:color w:val="auto"/>
          <w:spacing w:val="0"/>
          <w:kern w:val="0"/>
          <w:sz w:val="32"/>
          <w:szCs w:val="32"/>
          <w:highlight w:val="none"/>
          <w:u w:val="none" w:color="auto"/>
          <w:lang w:val="en-US" w:eastAsia="zh-CN"/>
        </w:rPr>
        <w:t>历史文化街区改造示范项目。加快水城城墙内外景观及石岛福第</w:t>
      </w:r>
      <w:r>
        <w:rPr>
          <w:rFonts w:hint="eastAsia"/>
          <w:color w:val="auto"/>
          <w:spacing w:val="6"/>
          <w:kern w:val="0"/>
          <w:sz w:val="32"/>
          <w:szCs w:val="32"/>
          <w:highlight w:val="none"/>
          <w:u w:val="none" w:color="auto"/>
          <w:lang w:val="en-US" w:eastAsia="zh-CN"/>
        </w:rPr>
        <w:t>西侧环境整治项目实施，打通石岛桥至上水门遗址公园的完整</w:t>
      </w:r>
      <w:r>
        <w:rPr>
          <w:rFonts w:hint="eastAsia"/>
          <w:color w:val="auto"/>
          <w:spacing w:val="0"/>
          <w:kern w:val="0"/>
          <w:sz w:val="32"/>
          <w:szCs w:val="32"/>
          <w:highlight w:val="none"/>
          <w:u w:val="none" w:color="auto"/>
          <w:lang w:val="en-US" w:eastAsia="zh-CN"/>
        </w:rPr>
        <w:t>街巷，将“画河一条线”打造成烟火沸腾、灯火辉煌的“动线”，将“小十口南北街”打造成传承文脉、展示艺术的“静线”，配套符合市场需求的文商旅体服务设施和旅游消费业态，“一动一静”串联起核心景区、历史街区、文化节点等资源。打开“戚继光故里”围墙，与周围环境实现有机衔接，引入红酒展销、</w:t>
      </w:r>
      <w:r>
        <w:rPr>
          <w:rFonts w:hint="eastAsia"/>
          <w:color w:val="auto"/>
          <w:spacing w:val="-6"/>
          <w:kern w:val="0"/>
          <w:sz w:val="32"/>
          <w:szCs w:val="32"/>
          <w:highlight w:val="none"/>
          <w:u w:val="none" w:color="auto"/>
          <w:lang w:val="en-US" w:eastAsia="zh-CN"/>
        </w:rPr>
        <w:t>露天咖啡、特色餐饮等业态，将其建成全区人民的“城市会客厅”。合理利用街区内历史建筑、公产房屋、文保单位及具备运营条件的闲置资源，布局要塞兵营、博物馆、文化艺术场馆、历史名人馆等空间场景，有效适配游客、市民及青年群体的消费需求，形成古韵流芳与市井蓬勃的良性互动，重现“邂逅唐宋、梦回登州”神韵。</w:t>
      </w:r>
    </w:p>
    <w:p w14:paraId="5869E646">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持续激活文旅消费。</w:t>
      </w:r>
      <w:r>
        <w:rPr>
          <w:rFonts w:hint="eastAsia"/>
          <w:color w:val="auto"/>
          <w:spacing w:val="0"/>
          <w:kern w:val="0"/>
          <w:sz w:val="32"/>
          <w:szCs w:val="32"/>
          <w:highlight w:val="none"/>
          <w:u w:val="none" w:color="auto"/>
          <w:lang w:val="en-US" w:eastAsia="zh-CN"/>
        </w:rPr>
        <w:t>持之以恒建设“神仙生活蓬莱湾”，深化景区间互联互动，策划推出水城实景演出，盘活登州仙阜等闲置资产，</w:t>
      </w:r>
      <w:r>
        <w:rPr>
          <w:rFonts w:hint="eastAsia"/>
          <w:strike w:val="0"/>
          <w:dstrike w:val="0"/>
          <w:color w:val="auto"/>
          <w:spacing w:val="0"/>
          <w:kern w:val="0"/>
          <w:sz w:val="32"/>
          <w:szCs w:val="32"/>
          <w:highlight w:val="none"/>
          <w:u w:val="none" w:color="auto"/>
          <w:lang w:val="en-US" w:eastAsia="zh-CN"/>
        </w:rPr>
        <w:t>引进培育星级酒店、精品民宿。</w:t>
      </w:r>
      <w:r>
        <w:rPr>
          <w:rFonts w:hint="eastAsia"/>
          <w:color w:val="auto"/>
          <w:spacing w:val="0"/>
          <w:kern w:val="0"/>
          <w:sz w:val="32"/>
          <w:szCs w:val="32"/>
          <w:highlight w:val="none"/>
          <w:u w:val="none" w:color="auto"/>
          <w:lang w:val="en-US" w:eastAsia="zh-CN"/>
        </w:rPr>
        <w:t>加快推进映华海上游、新绎游船夜游、海洋极地世界二期等重点项目，丰富海上与夜间旅游产品，拓展更多沉浸式消费场景，全力争创国家级美丽海湾。梯次开展“四季节庆”文旅消费活动，</w:t>
      </w:r>
      <w:r>
        <w:rPr>
          <w:rFonts w:hint="eastAsia"/>
          <w:strike w:val="0"/>
          <w:dstrike w:val="0"/>
          <w:color w:val="auto"/>
          <w:spacing w:val="0"/>
          <w:kern w:val="0"/>
          <w:sz w:val="32"/>
          <w:szCs w:val="32"/>
          <w:highlight w:val="none"/>
          <w:u w:val="none" w:color="auto"/>
          <w:lang w:val="en-US" w:eastAsia="zh-CN"/>
        </w:rPr>
        <w:t>推动农特产品、非遗技艺与旅游体验深度融合，构建“季季有主题、月月有活动、周周有亮点”的节庆消费新格局。</w:t>
      </w:r>
      <w:r>
        <w:rPr>
          <w:rFonts w:hint="eastAsia"/>
          <w:color w:val="auto"/>
          <w:spacing w:val="0"/>
          <w:kern w:val="0"/>
          <w:sz w:val="32"/>
          <w:szCs w:val="32"/>
          <w:highlight w:val="none"/>
          <w:u w:val="none" w:color="auto"/>
          <w:lang w:val="en-US" w:eastAsia="zh-CN"/>
        </w:rPr>
        <w:t>培育壮大赛事经济，引进国省级赛事7场以上，打造“跟着赛事去旅行”“体育赛事进景区、进商圈”等品牌活动。建好用好乡村振兴学院实习实训基地，促进教培产业突破发展。</w:t>
      </w:r>
    </w:p>
    <w:p w14:paraId="06D90B31">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left="0" w:leftChars="0" w:firstLine="640" w:firstLineChars="200"/>
        <w:textAlignment w:val="auto"/>
        <w:rPr>
          <w:rFonts w:hint="eastAsia" w:cs="仿宋_GB2312"/>
          <w:b w:val="0"/>
          <w:bCs w:val="0"/>
          <w:color w:val="auto"/>
          <w:spacing w:val="0"/>
          <w:kern w:val="0"/>
          <w:sz w:val="32"/>
          <w:szCs w:val="32"/>
          <w:highlight w:val="none"/>
          <w:u w:val="none" w:color="auto"/>
          <w:lang w:val="en-US" w:eastAsia="zh-CN" w:bidi="ar-SA"/>
        </w:rPr>
      </w:pPr>
      <w:r>
        <w:rPr>
          <w:rFonts w:hint="eastAsia" w:ascii="黑体" w:hAnsi="黑体" w:eastAsia="黑体" w:cs="黑体"/>
          <w:color w:val="auto"/>
          <w:spacing w:val="0"/>
          <w:kern w:val="0"/>
          <w:sz w:val="32"/>
          <w:szCs w:val="32"/>
          <w:highlight w:val="none"/>
          <w:u w:val="none" w:color="auto"/>
          <w:lang w:val="en-US" w:eastAsia="zh-CN"/>
        </w:rPr>
        <w:t>繁荣发展文化事业。</w:t>
      </w:r>
      <w:r>
        <w:rPr>
          <w:rFonts w:hint="eastAsia" w:cs="仿宋_GB2312"/>
          <w:b w:val="0"/>
          <w:bCs w:val="0"/>
          <w:color w:val="auto"/>
          <w:spacing w:val="0"/>
          <w:kern w:val="0"/>
          <w:sz w:val="32"/>
          <w:szCs w:val="32"/>
          <w:highlight w:val="none"/>
          <w:u w:val="none" w:color="auto"/>
          <w:lang w:val="en-US" w:eastAsia="zh-CN" w:bidi="ar-SA"/>
        </w:rPr>
        <w:t>弘扬和践行社会主义核心价值观，实施全民美育工程。</w:t>
      </w:r>
      <w:r>
        <w:rPr>
          <w:rFonts w:hint="eastAsia"/>
          <w:color w:val="auto"/>
          <w:spacing w:val="0"/>
          <w:kern w:val="0"/>
          <w:sz w:val="32"/>
          <w:szCs w:val="32"/>
          <w:highlight w:val="none"/>
          <w:u w:val="none" w:color="auto"/>
          <w:lang w:val="en-US" w:eastAsia="zh-CN"/>
        </w:rPr>
        <w:t>系统梳理登州古港、登州府治所、宋明军事要塞等历史脉络，深挖八仙、妈祖、苏轼、戚继光等特色文化符号的时代内涵。</w:t>
      </w:r>
      <w:r>
        <w:rPr>
          <w:rFonts w:hint="eastAsia"/>
          <w:strike w:val="0"/>
          <w:dstrike w:val="0"/>
          <w:color w:val="auto"/>
          <w:spacing w:val="0"/>
          <w:kern w:val="0"/>
          <w:sz w:val="32"/>
          <w:szCs w:val="32"/>
          <w:highlight w:val="none"/>
          <w:u w:val="none" w:color="auto"/>
          <w:lang w:val="en-US" w:eastAsia="zh-CN"/>
        </w:rPr>
        <w:t>开发适应现代消费需求的文化产品，</w:t>
      </w:r>
      <w:r>
        <w:rPr>
          <w:rFonts w:hint="eastAsia"/>
          <w:color w:val="auto"/>
          <w:spacing w:val="0"/>
          <w:kern w:val="0"/>
          <w:sz w:val="32"/>
          <w:szCs w:val="32"/>
          <w:highlight w:val="none"/>
          <w:u w:val="none" w:color="auto"/>
          <w:lang w:val="en-US" w:eastAsia="zh-CN"/>
        </w:rPr>
        <w:t>努力提高蓬莱文化原创力。优化登州博物馆、慕湘藏书馆等文化场馆服务模式，完成《登州通史》编撰，</w:t>
      </w:r>
      <w:r>
        <w:rPr>
          <w:rFonts w:hint="eastAsia"/>
          <w:strike w:val="0"/>
          <w:dstrike w:val="0"/>
          <w:color w:val="auto"/>
          <w:spacing w:val="0"/>
          <w:kern w:val="0"/>
          <w:sz w:val="32"/>
          <w:szCs w:val="32"/>
          <w:highlight w:val="none"/>
          <w:u w:val="none" w:color="auto"/>
          <w:lang w:val="en-US" w:eastAsia="zh-CN"/>
        </w:rPr>
        <w:t>积极推进文物保护、传承与利用</w:t>
      </w:r>
      <w:r>
        <w:rPr>
          <w:rFonts w:hint="eastAsia"/>
          <w:color w:val="auto"/>
          <w:spacing w:val="0"/>
          <w:kern w:val="0"/>
          <w:sz w:val="32"/>
          <w:szCs w:val="32"/>
          <w:highlight w:val="none"/>
          <w:u w:val="none" w:color="auto"/>
          <w:lang w:val="en-US" w:eastAsia="zh-CN"/>
        </w:rPr>
        <w:t>。建好省内唯一的水下考古基地，创新文化遗产当代表达方式</w:t>
      </w:r>
      <w:r>
        <w:rPr>
          <w:rFonts w:hint="eastAsia"/>
          <w:strike w:val="0"/>
          <w:dstrike w:val="0"/>
          <w:color w:val="auto"/>
          <w:spacing w:val="0"/>
          <w:kern w:val="0"/>
          <w:sz w:val="32"/>
          <w:szCs w:val="32"/>
          <w:highlight w:val="none"/>
          <w:u w:val="none" w:color="auto"/>
          <w:lang w:val="en-US" w:eastAsia="zh-CN"/>
        </w:rPr>
        <w:t>，生动鲜活讲好蓬莱文物故事。</w:t>
      </w:r>
      <w:r>
        <w:rPr>
          <w:rFonts w:hint="eastAsia"/>
          <w:color w:val="auto"/>
          <w:spacing w:val="0"/>
          <w:kern w:val="0"/>
          <w:sz w:val="32"/>
          <w:szCs w:val="32"/>
          <w:highlight w:val="none"/>
          <w:u w:val="none" w:color="auto"/>
          <w:lang w:val="en-US" w:eastAsia="zh-CN"/>
        </w:rPr>
        <w:t>深入实施文化惠民工程，</w:t>
      </w:r>
      <w:r>
        <w:rPr>
          <w:rFonts w:hint="eastAsia"/>
          <w:strike w:val="0"/>
          <w:dstrike w:val="0"/>
          <w:color w:val="auto"/>
          <w:spacing w:val="0"/>
          <w:kern w:val="0"/>
          <w:sz w:val="32"/>
          <w:szCs w:val="32"/>
          <w:highlight w:val="none"/>
          <w:u w:val="none" w:color="auto"/>
          <w:lang w:val="en-US" w:eastAsia="zh-CN"/>
        </w:rPr>
        <w:t>打造更多沉浸式、互动性演艺剧目，</w:t>
      </w:r>
      <w:r>
        <w:rPr>
          <w:rFonts w:hint="eastAsia" w:cs="仿宋_GB2312"/>
          <w:b w:val="0"/>
          <w:bCs w:val="0"/>
          <w:color w:val="auto"/>
          <w:spacing w:val="0"/>
          <w:kern w:val="0"/>
          <w:sz w:val="32"/>
          <w:szCs w:val="32"/>
          <w:highlight w:val="none"/>
          <w:u w:val="none" w:color="auto"/>
          <w:lang w:val="en-US" w:eastAsia="zh-CN" w:bidi="ar-SA"/>
        </w:rPr>
        <w:t>办好</w:t>
      </w:r>
      <w:r>
        <w:rPr>
          <w:rFonts w:hint="eastAsia" w:ascii="仿宋_GB2312" w:hAnsi="仿宋_GB2312" w:eastAsia="仿宋_GB2312" w:cs="仿宋_GB2312"/>
          <w:b w:val="0"/>
          <w:bCs w:val="0"/>
          <w:color w:val="auto"/>
          <w:spacing w:val="0"/>
          <w:kern w:val="0"/>
          <w:sz w:val="32"/>
          <w:szCs w:val="32"/>
          <w:highlight w:val="none"/>
          <w:u w:val="none" w:color="auto"/>
          <w:lang w:val="en-US" w:eastAsia="zh-CN" w:bidi="ar-SA"/>
        </w:rPr>
        <w:t>“蓬莱大秧歌”</w:t>
      </w:r>
      <w:r>
        <w:rPr>
          <w:rFonts w:hint="eastAsia" w:cs="仿宋_GB2312"/>
          <w:b w:val="0"/>
          <w:bCs w:val="0"/>
          <w:color w:val="auto"/>
          <w:spacing w:val="0"/>
          <w:kern w:val="0"/>
          <w:sz w:val="32"/>
          <w:szCs w:val="32"/>
          <w:highlight w:val="none"/>
          <w:u w:val="none" w:color="auto"/>
          <w:lang w:val="en-US" w:eastAsia="zh-CN" w:bidi="ar-SA"/>
        </w:rPr>
        <w:t>“村</w:t>
      </w:r>
      <w:r>
        <w:rPr>
          <w:rFonts w:hint="eastAsia" w:cs="仿宋_GB2312"/>
          <w:b w:val="0"/>
          <w:bCs w:val="0"/>
          <w:color w:val="auto"/>
          <w:spacing w:val="-6"/>
          <w:kern w:val="0"/>
          <w:sz w:val="32"/>
          <w:szCs w:val="32"/>
          <w:highlight w:val="none"/>
          <w:u w:val="none" w:color="auto"/>
          <w:lang w:val="en-US" w:eastAsia="zh-CN" w:bidi="ar-SA"/>
        </w:rPr>
        <w:t>歌大赛”等</w:t>
      </w:r>
      <w:r>
        <w:rPr>
          <w:rFonts w:hint="eastAsia" w:ascii="仿宋_GB2312" w:hAnsi="仿宋_GB2312" w:eastAsia="仿宋_GB2312" w:cs="仿宋_GB2312"/>
          <w:b w:val="0"/>
          <w:bCs w:val="0"/>
          <w:color w:val="auto"/>
          <w:spacing w:val="-6"/>
          <w:kern w:val="0"/>
          <w:sz w:val="32"/>
          <w:szCs w:val="32"/>
          <w:highlight w:val="none"/>
          <w:u w:val="none" w:color="auto"/>
          <w:lang w:val="en-US" w:eastAsia="zh-CN" w:bidi="ar-SA"/>
        </w:rPr>
        <w:t>活动</w:t>
      </w:r>
      <w:r>
        <w:rPr>
          <w:rFonts w:hint="eastAsia" w:cs="仿宋_GB2312"/>
          <w:b w:val="0"/>
          <w:bCs w:val="0"/>
          <w:color w:val="auto"/>
          <w:spacing w:val="-6"/>
          <w:kern w:val="0"/>
          <w:sz w:val="32"/>
          <w:szCs w:val="32"/>
          <w:highlight w:val="none"/>
          <w:u w:val="none" w:color="auto"/>
          <w:lang w:val="en-US" w:eastAsia="zh-CN" w:bidi="ar-SA"/>
        </w:rPr>
        <w:t>800</w:t>
      </w:r>
      <w:r>
        <w:rPr>
          <w:rFonts w:hint="eastAsia" w:ascii="仿宋_GB2312" w:hAnsi="仿宋_GB2312" w:eastAsia="仿宋_GB2312" w:cs="仿宋_GB2312"/>
          <w:b w:val="0"/>
          <w:bCs w:val="0"/>
          <w:color w:val="auto"/>
          <w:spacing w:val="-6"/>
          <w:kern w:val="0"/>
          <w:sz w:val="32"/>
          <w:szCs w:val="32"/>
          <w:highlight w:val="none"/>
          <w:u w:val="none" w:color="auto"/>
          <w:lang w:val="en-US" w:eastAsia="zh-CN" w:bidi="ar-SA"/>
        </w:rPr>
        <w:t>场次</w:t>
      </w:r>
      <w:r>
        <w:rPr>
          <w:rFonts w:hint="eastAsia" w:cs="仿宋_GB2312"/>
          <w:b w:val="0"/>
          <w:bCs w:val="0"/>
          <w:color w:val="auto"/>
          <w:spacing w:val="-6"/>
          <w:kern w:val="0"/>
          <w:sz w:val="32"/>
          <w:szCs w:val="32"/>
          <w:highlight w:val="none"/>
          <w:u w:val="none" w:color="auto"/>
          <w:lang w:val="en-US" w:eastAsia="zh-CN" w:bidi="ar-SA"/>
        </w:rPr>
        <w:t>以上，为市民和游客提供更多情绪价值。</w:t>
      </w:r>
    </w:p>
    <w:p w14:paraId="59644D26">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用心优化服务环境。</w:t>
      </w:r>
      <w:r>
        <w:rPr>
          <w:rFonts w:hint="eastAsia"/>
          <w:strike w:val="0"/>
          <w:dstrike w:val="0"/>
          <w:color w:val="auto"/>
          <w:spacing w:val="0"/>
          <w:kern w:val="0"/>
          <w:sz w:val="32"/>
          <w:szCs w:val="32"/>
          <w:highlight w:val="none"/>
          <w:u w:val="none" w:color="auto"/>
          <w:lang w:val="en-US" w:eastAsia="zh-CN"/>
        </w:rPr>
        <w:t>提升旅游智慧服务水平，加快旅游景区、餐饮住宿场所、公共文化场馆等智慧化建设，</w:t>
      </w:r>
      <w:r>
        <w:rPr>
          <w:rFonts w:hint="eastAsia"/>
          <w:color w:val="auto"/>
          <w:spacing w:val="0"/>
          <w:kern w:val="0"/>
          <w:sz w:val="32"/>
          <w:szCs w:val="32"/>
          <w:highlight w:val="none"/>
          <w:u w:val="none" w:color="auto"/>
          <w:lang w:val="en-US" w:eastAsia="zh-CN"/>
        </w:rPr>
        <w:t>开发文旅综合服务平台，完善“仙游蓬莱”小程序服务功能，</w:t>
      </w:r>
      <w:r>
        <w:rPr>
          <w:rFonts w:hint="eastAsia"/>
          <w:strike w:val="0"/>
          <w:dstrike w:val="0"/>
          <w:color w:val="auto"/>
          <w:spacing w:val="0"/>
          <w:kern w:val="0"/>
          <w:sz w:val="32"/>
          <w:szCs w:val="32"/>
          <w:highlight w:val="none"/>
          <w:u w:val="none" w:color="auto"/>
          <w:lang w:val="en-US" w:eastAsia="zh-CN"/>
        </w:rPr>
        <w:t>优化景区电子地图、旅游攻略、语音导览等智慧化服务，</w:t>
      </w:r>
      <w:r>
        <w:rPr>
          <w:rFonts w:hint="eastAsia"/>
          <w:color w:val="auto"/>
          <w:spacing w:val="0"/>
          <w:kern w:val="0"/>
          <w:sz w:val="32"/>
          <w:szCs w:val="32"/>
          <w:highlight w:val="none"/>
          <w:u w:val="none" w:color="auto"/>
          <w:lang w:val="en-US" w:eastAsia="zh-CN"/>
        </w:rPr>
        <w:t>提高旅游产品体验性、便捷度。强化旅游旺季、重点区域道路交通管理，营造安全畅通有序的交通环境。提升国际服务水平，按照国际旅游通则要求，逐步对旅游标识系统进行全面升级，</w:t>
      </w:r>
      <w:r>
        <w:rPr>
          <w:rFonts w:hint="eastAsia"/>
          <w:strike w:val="0"/>
          <w:dstrike w:val="0"/>
          <w:color w:val="auto"/>
          <w:spacing w:val="0"/>
          <w:kern w:val="0"/>
          <w:sz w:val="32"/>
          <w:szCs w:val="32"/>
          <w:highlight w:val="none"/>
          <w:u w:val="none" w:color="auto"/>
          <w:lang w:val="en-US" w:eastAsia="zh-CN"/>
        </w:rPr>
        <w:t>植入更多国际化元素，</w:t>
      </w:r>
      <w:r>
        <w:rPr>
          <w:rFonts w:hint="eastAsia"/>
          <w:color w:val="auto"/>
          <w:spacing w:val="0"/>
          <w:kern w:val="0"/>
          <w:sz w:val="32"/>
          <w:szCs w:val="32"/>
          <w:highlight w:val="none"/>
          <w:u w:val="none" w:color="auto"/>
          <w:lang w:val="en-US" w:eastAsia="zh-CN"/>
        </w:rPr>
        <w:t>策划一批有影响力的入境游产品，增强国际旅游吸引力。加强涉旅领域安全管理和旅游市场监管，</w:t>
      </w:r>
      <w:r>
        <w:rPr>
          <w:rFonts w:hint="eastAsia"/>
          <w:strike w:val="0"/>
          <w:dstrike w:val="0"/>
          <w:color w:val="auto"/>
          <w:spacing w:val="0"/>
          <w:kern w:val="0"/>
          <w:sz w:val="32"/>
          <w:szCs w:val="32"/>
          <w:highlight w:val="none"/>
          <w:u w:val="none" w:color="auto"/>
          <w:lang w:val="en-US" w:eastAsia="zh-CN"/>
        </w:rPr>
        <w:t>持续开展“雷霆行动”，深化“先行赔付”机制，加大对突出问题的打击力度，</w:t>
      </w:r>
      <w:r>
        <w:rPr>
          <w:rFonts w:hint="eastAsia"/>
          <w:color w:val="auto"/>
          <w:spacing w:val="0"/>
          <w:kern w:val="0"/>
          <w:sz w:val="32"/>
          <w:szCs w:val="32"/>
          <w:highlight w:val="none"/>
          <w:u w:val="none" w:color="auto"/>
          <w:lang w:val="en-US" w:eastAsia="zh-CN"/>
        </w:rPr>
        <w:t>营造良好旅游市场秩序。</w:t>
      </w:r>
    </w:p>
    <w:p w14:paraId="70A22C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（三）矢志不渝在铸造链式集聚新产业上攻坚突破。</w:t>
      </w:r>
      <w:r>
        <w:rPr>
          <w:rFonts w:hint="eastAsia"/>
          <w:color w:val="auto"/>
          <w:spacing w:val="0"/>
          <w:kern w:val="0"/>
          <w:sz w:val="32"/>
          <w:szCs w:val="32"/>
          <w:highlight w:val="none"/>
          <w:u w:val="none" w:color="auto"/>
          <w:lang w:val="en-US" w:eastAsia="zh-CN"/>
        </w:rPr>
        <w:t>坚持把发展经济的着力点放在实体经济上，以绿色化、智能化、融合化为方向，强化链式思维招商引资，加快构建具有区域特色的现代化产业体系。</w:t>
      </w:r>
    </w:p>
    <w:p w14:paraId="727F789D">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color w:val="auto"/>
          <w:spacing w:val="0"/>
          <w:kern w:val="0"/>
          <w:sz w:val="32"/>
          <w:szCs w:val="32"/>
          <w:highlight w:val="none"/>
          <w:u w:val="none" w:color="auto"/>
          <w:lang w:val="en-US" w:eastAsia="zh-CN"/>
        </w:rPr>
      </w:pPr>
      <w:r>
        <w:rPr>
          <w:rFonts w:hint="eastAsia" w:ascii="黑体" w:hAnsi="黑体" w:eastAsia="黑体" w:cs="黑体"/>
          <w:b w:val="0"/>
          <w:bCs w:val="0"/>
          <w:strike w:val="0"/>
          <w:dstrike w:val="0"/>
          <w:color w:val="auto"/>
          <w:spacing w:val="0"/>
          <w:kern w:val="0"/>
          <w:sz w:val="32"/>
          <w:szCs w:val="32"/>
          <w:highlight w:val="none"/>
          <w:u w:val="none" w:color="auto"/>
          <w:lang w:val="en-US" w:eastAsia="zh-CN"/>
        </w:rPr>
        <w:t>聚力优势产业强集群。</w:t>
      </w:r>
      <w:r>
        <w:rPr>
          <w:rFonts w:hint="eastAsia"/>
          <w:color w:val="auto"/>
          <w:spacing w:val="0"/>
          <w:kern w:val="0"/>
          <w:sz w:val="32"/>
          <w:szCs w:val="32"/>
          <w:highlight w:val="none"/>
          <w:u w:val="none" w:color="auto"/>
          <w:lang w:val="en-US" w:eastAsia="zh-CN"/>
        </w:rPr>
        <w:t>绿色新材料产业，全力保障万华二期按节点推进，确保聚烯烃弹性体等4个重点项目年内开工，推动康爱特二期、富海新材、密尔克卫等万华上下游产业链5个项目年内投产见效。海工装备产业，推进京鲁深远海保障基地、绿色节能船舶维修改装项目建设，投用山东送变电海缆运维基地</w:t>
      </w:r>
      <w:r>
        <w:rPr>
          <w:rFonts w:hint="eastAsia"/>
          <w:strike w:val="0"/>
          <w:dstrike w:val="0"/>
          <w:color w:val="auto"/>
          <w:spacing w:val="0"/>
          <w:kern w:val="0"/>
          <w:sz w:val="32"/>
          <w:szCs w:val="32"/>
          <w:highlight w:val="none"/>
          <w:u w:val="none" w:color="auto"/>
          <w:lang w:val="en-US" w:eastAsia="zh-CN"/>
        </w:rPr>
        <w:t>，做强现代化海洋产业。</w:t>
      </w:r>
      <w:r>
        <w:rPr>
          <w:rFonts w:hint="eastAsia"/>
          <w:color w:val="auto"/>
          <w:spacing w:val="0"/>
          <w:kern w:val="0"/>
          <w:sz w:val="32"/>
          <w:szCs w:val="32"/>
          <w:highlight w:val="none"/>
          <w:u w:val="none" w:color="auto"/>
          <w:lang w:val="en-US" w:eastAsia="zh-CN"/>
        </w:rPr>
        <w:t>新能源产业，开建华能半岛北、楠鼎电化学储能项目，力争国电投海上风电项目年内签约落地。汽车及零部件产业，支持蓬翔、吉鲁深化与央企强企战略合作，提升本地企业配套份额，推动产品技术向高端升级。黄金产业，稳步推动黄金矿</w:t>
      </w:r>
      <w:r>
        <w:rPr>
          <w:rFonts w:hint="eastAsia" w:cs="仿宋_GB2312"/>
          <w:b w:val="0"/>
          <w:bCs w:val="0"/>
          <w:i w:val="0"/>
          <w:iCs w:val="0"/>
          <w:caps w:val="0"/>
          <w:color w:val="auto"/>
          <w:spacing w:val="0"/>
          <w:kern w:val="0"/>
          <w:position w:val="0"/>
          <w:sz w:val="32"/>
          <w:szCs w:val="32"/>
          <w:highlight w:val="none"/>
          <w:u w:val="none" w:color="auto"/>
          <w:shd w:val="clear" w:color="auto" w:fill="auto"/>
          <w:lang w:val="en-US" w:eastAsia="zh-CN"/>
        </w:rPr>
        <w:t>山复工复产，支持蓬港金业扩大产出规模，在矿石加工贸易、尾矿综合利用等方面延链补链</w:t>
      </w:r>
      <w:r>
        <w:rPr>
          <w:rFonts w:hint="eastAsia" w:cs="仿宋_GB2312"/>
          <w:color w:val="auto"/>
          <w:spacing w:val="0"/>
          <w:kern w:val="0"/>
          <w:sz w:val="32"/>
          <w:szCs w:val="32"/>
          <w:highlight w:val="none"/>
          <w:u w:val="none" w:color="auto"/>
          <w:lang w:val="en-US" w:eastAsia="zh-CN"/>
        </w:rPr>
        <w:t>。绿色建造产业，聚焦集群化、高端化、国际化发展方向，支持新能格尔斯、正泰木业、鼎驰木业等企业成立产业联盟，加强科技创新，研发更多高附加值产品，增强市场竞争力。葡萄与葡萄酒产业，持续放大“世界七大葡萄海岸”品牌效应，加快推进与澳大利亚奔富、智利干露、美国葡萄酒集团等国际头部企业的合作，大力开拓东南亚、欧美市场，力争葡萄酒出口量增长10%以上，打造国内干白葡萄酒核心产区</w:t>
      </w:r>
      <w:r>
        <w:rPr>
          <w:rFonts w:hint="eastAsia" w:cs="仿宋_GB2312"/>
          <w:b w:val="0"/>
          <w:bCs w:val="0"/>
          <w:color w:val="auto"/>
          <w:spacing w:val="0"/>
          <w:kern w:val="0"/>
          <w:position w:val="0"/>
          <w:sz w:val="32"/>
          <w:szCs w:val="32"/>
          <w:highlight w:val="none"/>
          <w:u w:val="none" w:color="auto"/>
          <w:lang w:val="en-US" w:eastAsia="zh-CN" w:bidi="ar-SA"/>
        </w:rPr>
        <w:t>。</w:t>
      </w:r>
      <w:r>
        <w:rPr>
          <w:rFonts w:hint="eastAsia" w:cs="仿宋_GB2312"/>
          <w:color w:val="auto"/>
          <w:spacing w:val="0"/>
          <w:kern w:val="0"/>
          <w:sz w:val="32"/>
          <w:szCs w:val="32"/>
          <w:highlight w:val="none"/>
          <w:u w:val="none" w:color="auto"/>
          <w:lang w:val="en-US" w:eastAsia="zh-CN"/>
        </w:rPr>
        <w:t>生物医药产业，</w:t>
      </w:r>
      <w:r>
        <w:rPr>
          <w:rFonts w:hint="eastAsia" w:cs="仿宋_GB2312"/>
          <w:b w:val="0"/>
          <w:bCs w:val="0"/>
          <w:i w:val="0"/>
          <w:iCs w:val="0"/>
          <w:caps w:val="0"/>
          <w:color w:val="auto"/>
          <w:spacing w:val="0"/>
          <w:kern w:val="0"/>
          <w:position w:val="0"/>
          <w:sz w:val="32"/>
          <w:szCs w:val="32"/>
          <w:highlight w:val="none"/>
          <w:u w:val="none" w:color="auto"/>
          <w:shd w:val="clear" w:color="auto" w:fill="auto"/>
          <w:lang w:val="en-US" w:eastAsia="zh-CN"/>
        </w:rPr>
        <w:t>依托远大生命科学、爱博诺德等骨干企业，推动化学药向高附加值制剂、首仿药与创新药跃升，促进医疗器械向高端制造跨越。</w:t>
      </w:r>
      <w:r>
        <w:rPr>
          <w:rFonts w:hint="eastAsia" w:ascii="仿宋_GB2312" w:hAnsi="仿宋_GB2312" w:eastAsia="仿宋_GB2312" w:cs="仿宋_GB2312"/>
          <w:color w:val="auto"/>
          <w:spacing w:val="0"/>
          <w:kern w:val="0"/>
          <w:sz w:val="32"/>
          <w:szCs w:val="32"/>
          <w:highlight w:val="none"/>
          <w:u w:val="none" w:color="auto"/>
          <w:lang w:val="en-US" w:eastAsia="zh-CN"/>
        </w:rPr>
        <w:t>紧跟国家和省市未来产业部署，重点以氢能制备、合成生物制造等为方向，积极开展“人工智能+”行动，着力打造具有蓬莱特色的未来产业增长</w:t>
      </w:r>
      <w:r>
        <w:rPr>
          <w:rFonts w:hint="eastAsia" w:cs="仿宋_GB2312"/>
          <w:color w:val="auto"/>
          <w:spacing w:val="0"/>
          <w:kern w:val="0"/>
          <w:sz w:val="32"/>
          <w:szCs w:val="32"/>
          <w:highlight w:val="none"/>
          <w:u w:val="none" w:color="auto"/>
          <w:lang w:val="en-US" w:eastAsia="zh-CN"/>
        </w:rPr>
        <w:t>点</w:t>
      </w:r>
      <w:r>
        <w:rPr>
          <w:rFonts w:hint="eastAsia" w:ascii="仿宋_GB2312" w:hAnsi="仿宋_GB2312" w:eastAsia="仿宋_GB2312" w:cs="仿宋_GB2312"/>
          <w:color w:val="auto"/>
          <w:spacing w:val="0"/>
          <w:kern w:val="0"/>
          <w:sz w:val="32"/>
          <w:szCs w:val="32"/>
          <w:highlight w:val="none"/>
          <w:u w:val="none" w:color="auto"/>
          <w:lang w:val="en-US" w:eastAsia="zh-CN"/>
        </w:rPr>
        <w:t>。</w:t>
      </w:r>
    </w:p>
    <w:p w14:paraId="4C8FD7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突出项目带动强支撑。</w:t>
      </w:r>
      <w:r>
        <w:rPr>
          <w:rFonts w:hint="eastAsia"/>
          <w:color w:val="auto"/>
          <w:spacing w:val="0"/>
          <w:kern w:val="0"/>
          <w:sz w:val="32"/>
          <w:szCs w:val="32"/>
          <w:highlight w:val="none"/>
          <w:u w:val="none" w:color="auto"/>
          <w:lang w:val="en-US" w:eastAsia="zh-CN"/>
        </w:rPr>
        <w:t>以攻坚姿态推进项目，</w:t>
      </w:r>
      <w:r>
        <w:rPr>
          <w:rFonts w:hint="eastAsia"/>
          <w:strike w:val="0"/>
          <w:dstrike w:val="0"/>
          <w:color w:val="auto"/>
          <w:spacing w:val="0"/>
          <w:kern w:val="0"/>
          <w:sz w:val="32"/>
          <w:szCs w:val="32"/>
          <w:highlight w:val="none"/>
          <w:u w:val="none" w:color="auto"/>
          <w:lang w:val="en-US" w:eastAsia="zh-CN"/>
        </w:rPr>
        <w:t>完善领导包帮、专班推进、定期会商、督促预警调度机制，</w:t>
      </w:r>
      <w:r>
        <w:rPr>
          <w:rFonts w:hint="eastAsia"/>
          <w:color w:val="auto"/>
          <w:spacing w:val="0"/>
          <w:kern w:val="0"/>
          <w:sz w:val="32"/>
          <w:szCs w:val="32"/>
          <w:highlight w:val="none"/>
          <w:u w:val="none" w:color="auto"/>
          <w:lang w:val="en-US" w:eastAsia="zh-CN"/>
        </w:rPr>
        <w:t>加快总投资389亿元的59个省市区重点项目建设，</w:t>
      </w:r>
      <w:r>
        <w:rPr>
          <w:rFonts w:hint="eastAsia"/>
          <w:color w:val="auto"/>
          <w:spacing w:val="-6"/>
          <w:kern w:val="0"/>
          <w:sz w:val="32"/>
          <w:szCs w:val="32"/>
          <w:highlight w:val="none"/>
          <w:u w:val="none" w:color="auto"/>
          <w:lang w:val="en-US" w:eastAsia="zh-CN"/>
        </w:rPr>
        <w:t>力促万华QH等19个项目建成投产，</w:t>
      </w:r>
      <w:r>
        <w:rPr>
          <w:rFonts w:hint="eastAsia"/>
          <w:strike w:val="0"/>
          <w:dstrike w:val="0"/>
          <w:color w:val="auto"/>
          <w:spacing w:val="0"/>
          <w:kern w:val="0"/>
          <w:sz w:val="32"/>
          <w:szCs w:val="32"/>
          <w:highlight w:val="none"/>
          <w:u w:val="none" w:color="auto"/>
          <w:lang w:val="en-US" w:eastAsia="zh-CN"/>
        </w:rPr>
        <w:t>完成投资100亿元以上。</w:t>
      </w:r>
      <w:r>
        <w:rPr>
          <w:rFonts w:hint="eastAsia"/>
          <w:color w:val="auto"/>
          <w:spacing w:val="0"/>
          <w:kern w:val="0"/>
          <w:sz w:val="32"/>
          <w:szCs w:val="32"/>
          <w:highlight w:val="none"/>
          <w:u w:val="none" w:color="auto"/>
          <w:lang w:val="en-US" w:eastAsia="zh-CN"/>
        </w:rPr>
        <w:t>以超前思维谋划项目，</w:t>
      </w:r>
      <w:r>
        <w:rPr>
          <w:rFonts w:hint="eastAsia"/>
          <w:strike w:val="0"/>
          <w:dstrike w:val="0"/>
          <w:color w:val="auto"/>
          <w:spacing w:val="0"/>
          <w:kern w:val="0"/>
          <w:sz w:val="32"/>
          <w:szCs w:val="32"/>
          <w:highlight w:val="none"/>
          <w:u w:val="none" w:color="auto"/>
          <w:lang w:val="en-US" w:eastAsia="zh-CN"/>
        </w:rPr>
        <w:t>围绕中央预算内投资、超长期特别国债、地方政府专项债等政策性资金，</w:t>
      </w:r>
      <w:r>
        <w:rPr>
          <w:rFonts w:hint="eastAsia"/>
          <w:color w:val="auto"/>
          <w:spacing w:val="0"/>
          <w:kern w:val="0"/>
          <w:sz w:val="32"/>
          <w:szCs w:val="32"/>
          <w:highlight w:val="none"/>
          <w:u w:val="none" w:color="auto"/>
          <w:lang w:val="en-US" w:eastAsia="zh-CN"/>
        </w:rPr>
        <w:t>谋划储备过亿元项目20个以上。以靶向发力招引项目，巩固拓展“招商引资突破年”成果，落实山东省招商引资清单10条鼓励措施，</w:t>
      </w:r>
      <w:r>
        <w:rPr>
          <w:rFonts w:hint="eastAsia"/>
          <w:strike w:val="0"/>
          <w:dstrike w:val="0"/>
          <w:color w:val="auto"/>
          <w:spacing w:val="0"/>
          <w:kern w:val="0"/>
          <w:sz w:val="32"/>
          <w:szCs w:val="32"/>
          <w:highlight w:val="none"/>
          <w:u w:val="none" w:color="auto"/>
          <w:lang w:val="en-US" w:eastAsia="zh-CN"/>
        </w:rPr>
        <w:t>深入开展链式招商、以商招商，</w:t>
      </w:r>
      <w:r>
        <w:rPr>
          <w:rFonts w:hint="eastAsia"/>
          <w:color w:val="auto"/>
          <w:spacing w:val="0"/>
          <w:kern w:val="0"/>
          <w:sz w:val="32"/>
          <w:szCs w:val="32"/>
          <w:highlight w:val="none"/>
          <w:u w:val="none" w:color="auto"/>
          <w:lang w:val="en-US" w:eastAsia="zh-CN"/>
        </w:rPr>
        <w:t>支持各部门、各镇街围绕行业特色、区域禀赋开展精准招商，全力攻坚金强人居、友谊胶带二期等总投资56.3亿元的14个项目落地实施，年内开展招商推介活动10场以上，力争新签约过亿元项目25个。</w:t>
      </w:r>
    </w:p>
    <w:p w14:paraId="0F1E09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护航经营主体强保障。</w:t>
      </w:r>
      <w:r>
        <w:rPr>
          <w:rFonts w:hint="eastAsia"/>
          <w:color w:val="auto"/>
          <w:spacing w:val="0"/>
          <w:kern w:val="0"/>
          <w:sz w:val="32"/>
          <w:szCs w:val="32"/>
          <w:highlight w:val="none"/>
          <w:u w:val="none" w:color="auto"/>
          <w:lang w:val="en-US" w:eastAsia="zh-CN"/>
        </w:rPr>
        <w:t>持续优化营商环境，开展服务民营经济专项行动</w:t>
      </w:r>
      <w:r>
        <w:rPr>
          <w:rFonts w:hint="eastAsia"/>
          <w:strike w:val="0"/>
          <w:dstrike w:val="0"/>
          <w:color w:val="auto"/>
          <w:spacing w:val="0"/>
          <w:kern w:val="0"/>
          <w:sz w:val="32"/>
          <w:szCs w:val="32"/>
          <w:highlight w:val="none"/>
          <w:u w:val="none" w:color="auto"/>
          <w:lang w:val="en-US" w:eastAsia="zh-CN"/>
        </w:rPr>
        <w:t>，全面落实助企惠企政策</w:t>
      </w:r>
      <w:bookmarkStart w:id="1" w:name="OLE_LINK3"/>
      <w:r>
        <w:rPr>
          <w:rFonts w:hint="eastAsia"/>
          <w:strike w:val="0"/>
          <w:dstrike w:val="0"/>
          <w:color w:val="auto"/>
          <w:spacing w:val="0"/>
          <w:kern w:val="0"/>
          <w:sz w:val="32"/>
          <w:szCs w:val="32"/>
          <w:highlight w:val="none"/>
          <w:u w:val="none" w:color="auto"/>
          <w:lang w:val="en-US" w:eastAsia="zh-CN"/>
        </w:rPr>
        <w:t>“免申即享”</w:t>
      </w:r>
      <w:bookmarkEnd w:id="1"/>
      <w:r>
        <w:rPr>
          <w:rFonts w:hint="eastAsia"/>
          <w:strike w:val="0"/>
          <w:dstrike w:val="0"/>
          <w:color w:val="auto"/>
          <w:spacing w:val="0"/>
          <w:kern w:val="0"/>
          <w:sz w:val="32"/>
          <w:szCs w:val="32"/>
          <w:highlight w:val="none"/>
          <w:u w:val="none" w:color="auto"/>
          <w:lang w:val="en-US" w:eastAsia="zh-CN"/>
        </w:rPr>
        <w:t>“直达快享”，帮助企业解难题、促发展、强信心。</w:t>
      </w:r>
      <w:r>
        <w:rPr>
          <w:rFonts w:hint="eastAsia"/>
          <w:color w:val="auto"/>
          <w:spacing w:val="0"/>
          <w:kern w:val="0"/>
          <w:sz w:val="32"/>
          <w:szCs w:val="32"/>
          <w:highlight w:val="none"/>
          <w:u w:val="none" w:color="auto"/>
          <w:lang w:val="en-US" w:eastAsia="zh-CN"/>
        </w:rPr>
        <w:t>深化“高效办成一件事”改革，</w:t>
      </w:r>
      <w:r>
        <w:rPr>
          <w:rFonts w:hint="eastAsia"/>
          <w:strike w:val="0"/>
          <w:dstrike w:val="0"/>
          <w:color w:val="auto"/>
          <w:spacing w:val="0"/>
          <w:kern w:val="0"/>
          <w:sz w:val="32"/>
          <w:szCs w:val="32"/>
          <w:highlight w:val="none"/>
          <w:u w:val="none" w:color="auto"/>
          <w:lang w:val="en-US" w:eastAsia="zh-CN"/>
        </w:rPr>
        <w:t>精准对接企业民生高频需求，</w:t>
      </w:r>
      <w:r>
        <w:rPr>
          <w:rFonts w:hint="eastAsia"/>
          <w:color w:val="auto"/>
          <w:spacing w:val="0"/>
          <w:kern w:val="0"/>
          <w:sz w:val="32"/>
          <w:szCs w:val="32"/>
          <w:highlight w:val="none"/>
          <w:u w:val="none" w:color="auto"/>
          <w:lang w:val="en-US" w:eastAsia="zh-CN"/>
        </w:rPr>
        <w:t>推出17个“一件事”服务场景。落实土地资源要素保障，做好2026年成片开发方案编制报批，处置批而未供、闲置低效用地600亩以上，</w:t>
      </w:r>
      <w:r>
        <w:rPr>
          <w:rFonts w:hint="eastAsia"/>
          <w:strike w:val="0"/>
          <w:dstrike w:val="0"/>
          <w:color w:val="auto"/>
          <w:spacing w:val="0"/>
          <w:kern w:val="0"/>
          <w:sz w:val="32"/>
          <w:szCs w:val="32"/>
          <w:highlight w:val="none"/>
          <w:u w:val="none" w:color="auto"/>
          <w:lang w:val="en-US" w:eastAsia="zh-CN"/>
        </w:rPr>
        <w:t>确保“应保尽保、应供尽供”。</w:t>
      </w:r>
      <w:r>
        <w:rPr>
          <w:rFonts w:hint="eastAsia"/>
          <w:color w:val="auto"/>
          <w:spacing w:val="0"/>
          <w:kern w:val="0"/>
          <w:sz w:val="32"/>
          <w:szCs w:val="32"/>
          <w:highlight w:val="none"/>
          <w:u w:val="none" w:color="auto"/>
          <w:lang w:val="en-US" w:eastAsia="zh-CN"/>
        </w:rPr>
        <w:t>持续优化金融生态，</w:t>
      </w:r>
      <w:r>
        <w:rPr>
          <w:rFonts w:hint="eastAsia"/>
          <w:strike w:val="0"/>
          <w:dstrike w:val="0"/>
          <w:color w:val="auto"/>
          <w:spacing w:val="0"/>
          <w:kern w:val="0"/>
          <w:sz w:val="32"/>
          <w:szCs w:val="32"/>
          <w:highlight w:val="none"/>
          <w:u w:val="none" w:color="auto"/>
          <w:lang w:val="en-US" w:eastAsia="zh-CN"/>
        </w:rPr>
        <w:t>引导金融机构加大对骨干企业、高成长型优质项目的信贷投放，</w:t>
      </w:r>
      <w:r>
        <w:rPr>
          <w:rFonts w:hint="eastAsia"/>
          <w:color w:val="auto"/>
          <w:spacing w:val="0"/>
          <w:kern w:val="0"/>
          <w:sz w:val="32"/>
          <w:szCs w:val="32"/>
          <w:highlight w:val="none"/>
          <w:u w:val="none" w:color="auto"/>
          <w:lang w:val="en-US" w:eastAsia="zh-CN"/>
        </w:rPr>
        <w:t>开展政银企对接系列活动10场次以上。建立高成长创新型企业培育库，</w:t>
      </w:r>
      <w:r>
        <w:rPr>
          <w:rFonts w:hint="eastAsia"/>
          <w:strike w:val="0"/>
          <w:dstrike w:val="0"/>
          <w:color w:val="auto"/>
          <w:spacing w:val="0"/>
          <w:kern w:val="0"/>
          <w:sz w:val="32"/>
          <w:szCs w:val="32"/>
          <w:highlight w:val="none"/>
          <w:u w:val="none" w:color="auto"/>
          <w:lang w:val="en-US" w:eastAsia="zh-CN"/>
        </w:rPr>
        <w:t>不断培育壮大市场主体，</w:t>
      </w:r>
      <w:r>
        <w:rPr>
          <w:rFonts w:hint="eastAsia"/>
          <w:color w:val="auto"/>
          <w:spacing w:val="0"/>
          <w:kern w:val="0"/>
          <w:sz w:val="32"/>
          <w:szCs w:val="32"/>
          <w:highlight w:val="none"/>
          <w:u w:val="none" w:color="auto"/>
          <w:lang w:val="en-US" w:eastAsia="zh-CN"/>
        </w:rPr>
        <w:t>力争新增创新型中小企业20家以上、规上工业企业10家以上。坚持“有求必应、无事不扰”，</w:t>
      </w:r>
      <w:r>
        <w:rPr>
          <w:rFonts w:hint="eastAsia"/>
          <w:strike w:val="0"/>
          <w:dstrike w:val="0"/>
          <w:color w:val="auto"/>
          <w:spacing w:val="0"/>
          <w:kern w:val="0"/>
          <w:sz w:val="32"/>
          <w:szCs w:val="32"/>
          <w:highlight w:val="none"/>
          <w:u w:val="none" w:color="auto"/>
          <w:lang w:val="en-US" w:eastAsia="zh-CN"/>
        </w:rPr>
        <w:t>开展好“综合查一次”、规范涉企执法等专项行动，深化“首违不罚”“轻微免罚”等执法方式，</w:t>
      </w:r>
      <w:r>
        <w:rPr>
          <w:rFonts w:hint="eastAsia"/>
          <w:color w:val="auto"/>
          <w:spacing w:val="-6"/>
          <w:kern w:val="0"/>
          <w:sz w:val="32"/>
          <w:szCs w:val="32"/>
          <w:highlight w:val="none"/>
          <w:u w:val="none" w:color="auto"/>
          <w:lang w:val="en-US" w:eastAsia="zh-CN"/>
        </w:rPr>
        <w:t>让广大企业安心投资、放心发展。</w:t>
      </w:r>
    </w:p>
    <w:p w14:paraId="7E8E83B8">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textAlignment w:val="auto"/>
        <w:rPr>
          <w:rFonts w:hint="default" w:ascii="楷体_GB2312" w:hAnsi="楷体_GB2312" w:eastAsia="楷体_GB2312" w:cs="楷体_GB2312"/>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6"/>
          <w:kern w:val="0"/>
          <w:sz w:val="32"/>
          <w:szCs w:val="32"/>
          <w:highlight w:val="none"/>
          <w:u w:val="none" w:color="auto"/>
          <w:lang w:val="en-US" w:eastAsia="zh-CN"/>
        </w:rPr>
        <w:t>（四）矢志不渝在实现农业农村新振兴上攻坚突破。</w:t>
      </w:r>
      <w:r>
        <w:rPr>
          <w:rFonts w:hint="eastAsia" w:ascii="仿宋_GB2312" w:hAnsi="仿宋_GB2312" w:eastAsia="仿宋_GB2312" w:cs="仿宋_GB2312"/>
          <w:color w:val="auto"/>
          <w:spacing w:val="6"/>
          <w:kern w:val="0"/>
          <w:sz w:val="32"/>
          <w:szCs w:val="32"/>
          <w:highlight w:val="none"/>
          <w:u w:val="none" w:color="auto"/>
          <w:lang w:val="en-US" w:eastAsia="zh-CN"/>
        </w:rPr>
        <w:t>坚持</w:t>
      </w:r>
      <w:r>
        <w:rPr>
          <w:rFonts w:hint="eastAsia" w:ascii="仿宋_GB2312" w:hAnsi="仿宋_GB2312" w:eastAsia="仿宋_GB2312" w:cs="仿宋_GB2312"/>
          <w:color w:val="auto"/>
          <w:spacing w:val="0"/>
          <w:kern w:val="0"/>
          <w:sz w:val="32"/>
          <w:szCs w:val="32"/>
          <w:highlight w:val="none"/>
          <w:u w:val="none" w:color="auto"/>
          <w:lang w:val="en-US" w:eastAsia="zh-CN"/>
        </w:rPr>
        <w:t>农业农村</w:t>
      </w:r>
      <w:r>
        <w:rPr>
          <w:rFonts w:hint="eastAsia" w:cs="仿宋_GB2312"/>
          <w:color w:val="auto"/>
          <w:spacing w:val="0"/>
          <w:kern w:val="0"/>
          <w:sz w:val="32"/>
          <w:szCs w:val="32"/>
          <w:highlight w:val="none"/>
          <w:u w:val="none" w:color="auto"/>
          <w:lang w:val="en-US" w:eastAsia="zh-CN"/>
        </w:rPr>
        <w:t>优先战略，统筹实施“五大振兴”，推动农业基础更加稳固、农村地区更加繁荣、农民生活更加红火。</w:t>
      </w:r>
    </w:p>
    <w:p w14:paraId="21A885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s="仿宋_GB2312"/>
          <w:strike w:val="0"/>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坚决扛牢粮食安全责任。</w:t>
      </w:r>
      <w:r>
        <w:rPr>
          <w:rFonts w:hint="eastAsia" w:cs="仿宋_GB2312"/>
          <w:color w:val="auto"/>
          <w:spacing w:val="0"/>
          <w:kern w:val="0"/>
          <w:sz w:val="32"/>
          <w:szCs w:val="32"/>
          <w:highlight w:val="none"/>
          <w:u w:val="none" w:color="auto"/>
          <w:lang w:val="en-US" w:eastAsia="zh-CN"/>
        </w:rPr>
        <w:t>严守耕地保护红线，</w:t>
      </w:r>
      <w:r>
        <w:rPr>
          <w:rFonts w:hint="eastAsia"/>
          <w:strike w:val="0"/>
          <w:dstrike w:val="0"/>
          <w:color w:val="auto"/>
          <w:spacing w:val="0"/>
          <w:kern w:val="0"/>
          <w:sz w:val="32"/>
          <w:szCs w:val="32"/>
          <w:highlight w:val="none"/>
          <w:u w:val="none" w:color="auto"/>
          <w:lang w:val="en-US" w:eastAsia="zh-CN"/>
        </w:rPr>
        <w:t>严格落实党政同责，坚决遏制耕地“非农化”“非粮化”，</w:t>
      </w:r>
      <w:r>
        <w:rPr>
          <w:rFonts w:hint="eastAsia" w:cs="仿宋_GB2312"/>
          <w:color w:val="auto"/>
          <w:spacing w:val="0"/>
          <w:kern w:val="0"/>
          <w:sz w:val="32"/>
          <w:szCs w:val="32"/>
          <w:highlight w:val="none"/>
          <w:u w:val="none" w:color="auto"/>
          <w:lang w:val="en-US" w:eastAsia="zh-CN"/>
        </w:rPr>
        <w:t>确保粮食种植面积稳定在12.6万亩以上。深入实施种业振兴行动，稳步推进第二轮土地承包到期后再延长30年试点工作，落实好耕地地力保护、农机购置等惠农补贴，扩大政策性农业保险覆盖面，保障农民种粮收益。</w:t>
      </w:r>
      <w:r>
        <w:rPr>
          <w:rFonts w:hint="eastAsia" w:cs="仿宋_GB2312"/>
          <w:b w:val="0"/>
          <w:bCs w:val="0"/>
          <w:color w:val="auto"/>
          <w:spacing w:val="0"/>
          <w:kern w:val="0"/>
          <w:position w:val="0"/>
          <w:sz w:val="32"/>
          <w:szCs w:val="32"/>
          <w:highlight w:val="none"/>
          <w:u w:val="none" w:color="auto"/>
          <w:lang w:val="en-US" w:eastAsia="zh-CN" w:bidi="ar-SA"/>
        </w:rPr>
        <w:t>扎实开展农业科技下乡活动，大力发展智慧</w:t>
      </w:r>
      <w:r>
        <w:rPr>
          <w:rFonts w:hint="eastAsia" w:cs="仿宋_GB2312"/>
          <w:b w:val="0"/>
          <w:bCs w:val="0"/>
          <w:color w:val="auto"/>
          <w:spacing w:val="-6"/>
          <w:kern w:val="0"/>
          <w:position w:val="0"/>
          <w:sz w:val="32"/>
          <w:szCs w:val="32"/>
          <w:highlight w:val="none"/>
          <w:u w:val="none" w:color="auto"/>
          <w:lang w:val="en-US" w:eastAsia="zh-CN" w:bidi="ar-SA"/>
        </w:rPr>
        <w:t>农业，提升农业防灾减灾能力建设。</w:t>
      </w:r>
      <w:r>
        <w:rPr>
          <w:rFonts w:hint="eastAsia" w:cs="仿宋_GB2312"/>
          <w:strike w:val="0"/>
          <w:dstrike w:val="0"/>
          <w:color w:val="auto"/>
          <w:spacing w:val="-6"/>
          <w:kern w:val="0"/>
          <w:sz w:val="32"/>
          <w:szCs w:val="32"/>
          <w:highlight w:val="none"/>
          <w:u w:val="none" w:color="auto"/>
          <w:lang w:val="en-US" w:eastAsia="zh-CN"/>
        </w:rPr>
        <w:t>开展好第四次全国农业普查。</w:t>
      </w:r>
    </w:p>
    <w:p w14:paraId="5A1A95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pacing w:val="0"/>
          <w:kern w:val="0"/>
          <w:position w:val="0"/>
          <w:sz w:val="32"/>
          <w:szCs w:val="32"/>
          <w:highlight w:val="none"/>
          <w:u w:val="none" w:color="auto"/>
          <w:lang w:val="en-US" w:eastAsia="zh-CN" w:bidi="ar-SA"/>
        </w:rPr>
      </w:pPr>
      <w:r>
        <w:rPr>
          <w:rFonts w:hint="eastAsia" w:ascii="黑体" w:hAnsi="黑体" w:eastAsia="黑体" w:cs="黑体"/>
          <w:color w:val="auto"/>
          <w:spacing w:val="0"/>
          <w:kern w:val="0"/>
          <w:sz w:val="32"/>
          <w:szCs w:val="32"/>
          <w:highlight w:val="none"/>
          <w:u w:val="none" w:color="auto"/>
          <w:lang w:val="en-US" w:eastAsia="zh-CN"/>
        </w:rPr>
        <w:t>大力发展强农富民产业。</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持续壮大苹果、海参</w:t>
      </w:r>
      <w:r>
        <w:rPr>
          <w:rFonts w:hint="eastAsia" w:cs="仿宋_GB2312"/>
          <w:b w:val="0"/>
          <w:bCs w:val="0"/>
          <w:color w:val="auto"/>
          <w:spacing w:val="0"/>
          <w:kern w:val="0"/>
          <w:position w:val="0"/>
          <w:sz w:val="32"/>
          <w:szCs w:val="32"/>
          <w:highlight w:val="none"/>
          <w:u w:val="none" w:color="auto"/>
          <w:lang w:val="en-US" w:eastAsia="zh-CN" w:bidi="ar-SA"/>
        </w:rPr>
        <w:t>、</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白羽肉鸡等优势产业，</w:t>
      </w:r>
      <w:r>
        <w:rPr>
          <w:rFonts w:hint="eastAsia" w:cs="仿宋_GB2312"/>
          <w:b w:val="0"/>
          <w:bCs w:val="0"/>
          <w:color w:val="auto"/>
          <w:spacing w:val="0"/>
          <w:kern w:val="0"/>
          <w:position w:val="0"/>
          <w:sz w:val="32"/>
          <w:szCs w:val="32"/>
          <w:highlight w:val="none"/>
          <w:u w:val="none" w:color="auto"/>
          <w:lang w:val="en-US" w:eastAsia="zh-CN" w:bidi="ar-SA"/>
        </w:rPr>
        <w:t>培育引进一批牵引力强、辐射面广的农业产业化龙头企业，</w:t>
      </w:r>
      <w:r>
        <w:rPr>
          <w:rFonts w:hint="eastAsia"/>
          <w:strike w:val="0"/>
          <w:dstrike w:val="0"/>
          <w:color w:val="auto"/>
          <w:spacing w:val="0"/>
          <w:kern w:val="0"/>
          <w:sz w:val="32"/>
          <w:szCs w:val="32"/>
          <w:highlight w:val="none"/>
          <w:u w:val="none" w:color="auto"/>
          <w:lang w:val="en-US" w:eastAsia="zh-CN"/>
        </w:rPr>
        <w:t>带动农民稳定增收。</w:t>
      </w:r>
      <w:r>
        <w:rPr>
          <w:rFonts w:hint="eastAsia" w:cs="仿宋_GB2312"/>
          <w:b w:val="0"/>
          <w:bCs w:val="0"/>
          <w:color w:val="auto"/>
          <w:spacing w:val="0"/>
          <w:kern w:val="0"/>
          <w:position w:val="0"/>
          <w:sz w:val="32"/>
          <w:szCs w:val="32"/>
          <w:highlight w:val="none"/>
          <w:u w:val="none" w:color="auto"/>
          <w:lang w:val="en-US" w:eastAsia="zh-CN" w:bidi="ar-SA"/>
        </w:rPr>
        <w:t>充分发挥苹果协会平台作用，推动</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苹果试验站建设，</w:t>
      </w:r>
      <w:r>
        <w:rPr>
          <w:rFonts w:hint="eastAsia"/>
          <w:strike w:val="0"/>
          <w:dstrike w:val="0"/>
          <w:color w:val="auto"/>
          <w:spacing w:val="0"/>
          <w:kern w:val="0"/>
          <w:sz w:val="32"/>
          <w:szCs w:val="32"/>
          <w:highlight w:val="none"/>
          <w:u w:val="none" w:color="auto"/>
          <w:lang w:val="en-US" w:eastAsia="zh-CN"/>
        </w:rPr>
        <w:t>拓宽苹果销售渠道，</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引进苹果新品种15个</w:t>
      </w:r>
      <w:r>
        <w:rPr>
          <w:rFonts w:hint="eastAsia" w:cs="仿宋_GB2312"/>
          <w:b w:val="0"/>
          <w:bCs w:val="0"/>
          <w:color w:val="auto"/>
          <w:spacing w:val="0"/>
          <w:kern w:val="0"/>
          <w:position w:val="0"/>
          <w:sz w:val="32"/>
          <w:szCs w:val="32"/>
          <w:highlight w:val="none"/>
          <w:u w:val="none" w:color="auto"/>
          <w:lang w:val="en-US" w:eastAsia="zh-CN" w:bidi="ar-SA"/>
        </w:rPr>
        <w:t>以上。加强</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蓬莱海参品牌梯队培育，支持华康、源力德争创省级名优品牌。</w:t>
      </w:r>
      <w:r>
        <w:rPr>
          <w:rFonts w:hint="eastAsia" w:cs="仿宋_GB2312"/>
          <w:b w:val="0"/>
          <w:bCs w:val="0"/>
          <w:color w:val="auto"/>
          <w:spacing w:val="0"/>
          <w:kern w:val="0"/>
          <w:position w:val="0"/>
          <w:sz w:val="32"/>
          <w:szCs w:val="32"/>
          <w:highlight w:val="none"/>
          <w:u w:val="none" w:color="auto"/>
          <w:lang w:val="en-US" w:eastAsia="zh-CN" w:bidi="ar-SA"/>
        </w:rPr>
        <w:t>拓展</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白羽肉鸡全产业</w:t>
      </w:r>
      <w:r>
        <w:rPr>
          <w:rFonts w:hint="eastAsia" w:cs="仿宋_GB2312"/>
          <w:b w:val="0"/>
          <w:bCs w:val="0"/>
          <w:color w:val="auto"/>
          <w:spacing w:val="0"/>
          <w:kern w:val="0"/>
          <w:position w:val="0"/>
          <w:sz w:val="32"/>
          <w:szCs w:val="32"/>
          <w:highlight w:val="none"/>
          <w:u w:val="none" w:color="auto"/>
          <w:lang w:val="en-US" w:eastAsia="zh-CN" w:bidi="ar-SA"/>
        </w:rPr>
        <w:t>链条</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，支持民和牧业等企业升级熟食车间，引导</w:t>
      </w:r>
      <w:r>
        <w:rPr>
          <w:rFonts w:hint="eastAsia" w:cs="仿宋_GB2312"/>
          <w:b w:val="0"/>
          <w:bCs w:val="0"/>
          <w:color w:val="auto"/>
          <w:spacing w:val="0"/>
          <w:kern w:val="0"/>
          <w:position w:val="0"/>
          <w:sz w:val="32"/>
          <w:szCs w:val="32"/>
          <w:highlight w:val="none"/>
          <w:u w:val="none" w:color="auto"/>
          <w:lang w:val="en-US" w:eastAsia="zh-CN" w:bidi="ar-SA"/>
        </w:rPr>
        <w:t>开发</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高附加值产品</w:t>
      </w:r>
      <w:r>
        <w:rPr>
          <w:rFonts w:hint="eastAsia" w:cs="仿宋_GB2312"/>
          <w:b w:val="0"/>
          <w:bCs w:val="0"/>
          <w:color w:val="auto"/>
          <w:spacing w:val="0"/>
          <w:kern w:val="0"/>
          <w:position w:val="0"/>
          <w:sz w:val="32"/>
          <w:szCs w:val="32"/>
          <w:highlight w:val="none"/>
          <w:u w:val="none" w:color="auto"/>
          <w:lang w:val="en-US" w:eastAsia="zh-CN" w:bidi="ar-SA"/>
        </w:rPr>
        <w:t>。</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加快渔港基础设施改造提升，聚力打造渔业增长新引擎</w:t>
      </w:r>
      <w:r>
        <w:rPr>
          <w:rFonts w:hint="eastAsia" w:cs="仿宋_GB2312"/>
          <w:b w:val="0"/>
          <w:bCs w:val="0"/>
          <w:color w:val="auto"/>
          <w:spacing w:val="0"/>
          <w:kern w:val="0"/>
          <w:position w:val="0"/>
          <w:sz w:val="32"/>
          <w:szCs w:val="32"/>
          <w:highlight w:val="none"/>
          <w:u w:val="none" w:color="auto"/>
          <w:lang w:val="en-US" w:eastAsia="zh-CN" w:bidi="ar-SA"/>
        </w:rPr>
        <w:t>。</w:t>
      </w:r>
      <w:r>
        <w:rPr>
          <w:rFonts w:hint="eastAsia"/>
          <w:strike w:val="0"/>
          <w:dstrike w:val="0"/>
          <w:color w:val="auto"/>
          <w:spacing w:val="0"/>
          <w:kern w:val="0"/>
          <w:sz w:val="32"/>
          <w:szCs w:val="32"/>
          <w:highlight w:val="none"/>
          <w:u w:val="none" w:color="auto"/>
          <w:lang w:val="en-US" w:eastAsia="zh-CN"/>
        </w:rPr>
        <w:t>因地制宜推进撂荒地整治，</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年内盘活</w:t>
      </w:r>
      <w:r>
        <w:rPr>
          <w:rFonts w:hint="eastAsia" w:cs="仿宋_GB2312"/>
          <w:b w:val="0"/>
          <w:bCs w:val="0"/>
          <w:color w:val="auto"/>
          <w:spacing w:val="0"/>
          <w:kern w:val="0"/>
          <w:position w:val="0"/>
          <w:sz w:val="32"/>
          <w:szCs w:val="32"/>
          <w:highlight w:val="none"/>
          <w:u w:val="none" w:color="auto"/>
          <w:lang w:val="en-US" w:eastAsia="zh-CN" w:bidi="ar-SA"/>
        </w:rPr>
        <w:t>撂荒地</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4000亩。</w:t>
      </w:r>
    </w:p>
    <w:p w14:paraId="6BFEFF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pPr>
      <w:r>
        <w:rPr>
          <w:rFonts w:hint="eastAsia" w:ascii="黑体" w:hAnsi="黑体" w:eastAsia="黑体" w:cs="黑体"/>
          <w:color w:val="auto"/>
          <w:spacing w:val="0"/>
          <w:kern w:val="0"/>
          <w:sz w:val="32"/>
          <w:szCs w:val="32"/>
          <w:highlight w:val="none"/>
          <w:u w:val="none" w:color="auto"/>
          <w:lang w:val="en-US" w:eastAsia="zh-CN"/>
        </w:rPr>
        <w:t>聚力打造和美乡村样板。</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建强基层</w:t>
      </w:r>
      <w:r>
        <w:rPr>
          <w:rFonts w:hint="eastAsia" w:cs="仿宋_GB2312"/>
          <w:b w:val="0"/>
          <w:bCs w:val="0"/>
          <w:color w:val="auto"/>
          <w:spacing w:val="0"/>
          <w:kern w:val="0"/>
          <w:position w:val="0"/>
          <w:sz w:val="32"/>
          <w:szCs w:val="32"/>
          <w:highlight w:val="none"/>
          <w:u w:val="none" w:color="auto"/>
          <w:lang w:val="en-US" w:eastAsia="zh-CN" w:bidi="ar-SA"/>
        </w:rPr>
        <w:t>组织</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堡垒，稳妥完成“两委”换届选举，</w:t>
      </w:r>
      <w:r>
        <w:rPr>
          <w:rFonts w:hint="eastAsia"/>
          <w:strike w:val="0"/>
          <w:dstrike w:val="0"/>
          <w:color w:val="auto"/>
          <w:spacing w:val="0"/>
          <w:kern w:val="0"/>
          <w:sz w:val="32"/>
          <w:szCs w:val="32"/>
          <w:highlight w:val="none"/>
          <w:u w:val="none" w:color="auto"/>
          <w:lang w:val="en-US" w:eastAsia="zh-CN"/>
        </w:rPr>
        <w:t>选好配强带头人，充分激发“头雁”引领效应。</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发展壮大乡村人才队伍，激励各类人才下乡服务和创业就业，培养高素质农民</w:t>
      </w:r>
      <w:r>
        <w:rPr>
          <w:rFonts w:hint="eastAsia" w:cs="仿宋_GB2312"/>
          <w:b w:val="0"/>
          <w:bCs w:val="0"/>
          <w:color w:val="auto"/>
          <w:spacing w:val="0"/>
          <w:kern w:val="0"/>
          <w:position w:val="0"/>
          <w:sz w:val="32"/>
          <w:szCs w:val="32"/>
          <w:highlight w:val="none"/>
          <w:u w:val="none" w:color="auto"/>
          <w:lang w:val="en-US" w:eastAsia="zh-CN" w:bidi="ar-SA"/>
        </w:rPr>
        <w:t>280</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人以上。加快补齐农村现代生活条件短板，改造提升农村公路96公里，</w:t>
      </w:r>
      <w:r>
        <w:rPr>
          <w:rFonts w:hint="eastAsia" w:cs="仿宋_GB2312"/>
          <w:b w:val="0"/>
          <w:bCs w:val="0"/>
          <w:color w:val="auto"/>
          <w:spacing w:val="0"/>
          <w:kern w:val="0"/>
          <w:position w:val="0"/>
          <w:sz w:val="32"/>
          <w:szCs w:val="32"/>
          <w:highlight w:val="none"/>
          <w:u w:val="none" w:color="auto"/>
          <w:lang w:val="en-US" w:eastAsia="zh-CN" w:bidi="ar-SA"/>
        </w:rPr>
        <w:t>全面完成</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村卫生室“五有三提升改造”，推动更多公共服务向基层下沉、向农村覆盖。持续整治农村人居环境，</w:t>
      </w:r>
      <w:r>
        <w:rPr>
          <w:rFonts w:hint="eastAsia"/>
          <w:strike w:val="0"/>
          <w:dstrike w:val="0"/>
          <w:color w:val="auto"/>
          <w:spacing w:val="0"/>
          <w:kern w:val="0"/>
          <w:sz w:val="32"/>
          <w:szCs w:val="32"/>
          <w:highlight w:val="none"/>
          <w:u w:val="none" w:color="auto"/>
          <w:lang w:val="en-US" w:eastAsia="zh-CN"/>
        </w:rPr>
        <w:t>常态化开展“四季战役”，深化“三膜一袋”专项治理，</w:t>
      </w:r>
      <w:r>
        <w:rPr>
          <w:rFonts w:hint="eastAsia" w:cs="仿宋_GB2312"/>
          <w:b w:val="0"/>
          <w:bCs w:val="0"/>
          <w:color w:val="auto"/>
          <w:spacing w:val="0"/>
          <w:kern w:val="0"/>
          <w:position w:val="0"/>
          <w:sz w:val="32"/>
          <w:szCs w:val="32"/>
          <w:highlight w:val="none"/>
          <w:u w:val="none" w:color="auto"/>
          <w:lang w:val="en-US" w:eastAsia="zh-CN" w:bidi="ar-SA"/>
        </w:rPr>
        <w:t>加快打造</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SA"/>
        </w:rPr>
        <w:t>乡村优质生活空间。强化农村精神文明建设，扎实推进移风易俗，</w:t>
      </w:r>
      <w:r>
        <w:rPr>
          <w:rFonts w:hint="eastAsia"/>
          <w:strike w:val="0"/>
          <w:dstrike w:val="0"/>
          <w:color w:val="auto"/>
          <w:spacing w:val="0"/>
          <w:kern w:val="0"/>
          <w:sz w:val="32"/>
          <w:szCs w:val="32"/>
          <w:highlight w:val="none"/>
          <w:u w:val="none" w:color="auto"/>
          <w:lang w:val="en-US" w:eastAsia="zh-CN"/>
        </w:rPr>
        <w:t>涵养文明乡风、培育时代新风。</w:t>
      </w:r>
      <w:r>
        <w:rPr>
          <w:rFonts w:hint="eastAsia" w:cs="仿宋_GB2312"/>
          <w:b w:val="0"/>
          <w:bCs w:val="0"/>
          <w:color w:val="auto"/>
          <w:spacing w:val="0"/>
          <w:kern w:val="0"/>
          <w:position w:val="0"/>
          <w:sz w:val="32"/>
          <w:szCs w:val="32"/>
          <w:highlight w:val="none"/>
          <w:u w:val="none" w:color="auto"/>
          <w:lang w:val="en-US" w:eastAsia="zh-CN" w:bidi="ar-SA"/>
        </w:rPr>
        <w:t>协同推进片区建设，以“一带三谷满天星”为抓手，持续完善滨海旅游带配套，加快打造东方海岸果谷农文旅示范区、丘山谷世界葡萄酒之窗、艾崮山谷乡村振兴齐鲁样板片区，集中争创一批具有蓬莱特色的乡村振兴样板。</w:t>
      </w:r>
    </w:p>
    <w:p w14:paraId="63E0F9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（五）矢志不渝在建设宜居宜业新城市上攻坚突破。</w:t>
      </w:r>
      <w:r>
        <w:rPr>
          <w:rFonts w:hint="eastAsia" w:cs="仿宋_GB2312"/>
          <w:b w:val="0"/>
          <w:bCs w:val="0"/>
          <w:color w:val="auto"/>
          <w:spacing w:val="0"/>
          <w:kern w:val="0"/>
          <w:position w:val="0"/>
          <w:sz w:val="32"/>
          <w:szCs w:val="32"/>
          <w:highlight w:val="none"/>
          <w:u w:val="none" w:color="auto"/>
          <w:lang w:val="en-US" w:eastAsia="zh-CN" w:bidi="ar-SA"/>
        </w:rPr>
        <w:t>认真践行人民城市理念，走好内涵式发展之路，营造高品质城市生活空间，加快建设“烟台城市综合副中心”。</w:t>
      </w:r>
    </w:p>
    <w:p w14:paraId="532607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着力建设舒适便利的宜居城市。</w:t>
      </w:r>
      <w:r>
        <w:rPr>
          <w:rFonts w:hint="eastAsia"/>
          <w:color w:val="auto"/>
          <w:spacing w:val="0"/>
          <w:kern w:val="0"/>
          <w:sz w:val="32"/>
          <w:szCs w:val="32"/>
          <w:highlight w:val="none"/>
          <w:u w:val="none" w:color="auto"/>
          <w:lang w:val="en-US" w:eastAsia="zh-CN"/>
        </w:rPr>
        <w:t>坚持规划引领，</w:t>
      </w:r>
      <w:r>
        <w:rPr>
          <w:rFonts w:hint="eastAsia"/>
          <w:strike w:val="0"/>
          <w:dstrike w:val="0"/>
          <w:color w:val="auto"/>
          <w:spacing w:val="0"/>
          <w:kern w:val="0"/>
          <w:sz w:val="32"/>
          <w:szCs w:val="32"/>
          <w:highlight w:val="none"/>
          <w:u w:val="none" w:color="auto"/>
          <w:lang w:val="en-US" w:eastAsia="zh-CN"/>
        </w:rPr>
        <w:t>完善国土空间规划体系，</w:t>
      </w:r>
      <w:r>
        <w:rPr>
          <w:rFonts w:hint="eastAsia"/>
          <w:color w:val="auto"/>
          <w:spacing w:val="0"/>
          <w:kern w:val="0"/>
          <w:sz w:val="32"/>
          <w:szCs w:val="32"/>
          <w:highlight w:val="none"/>
          <w:u w:val="none" w:color="auto"/>
          <w:lang w:val="en-US" w:eastAsia="zh-CN"/>
        </w:rPr>
        <w:t>统筹编制空间类专项规划。接续推进城市有机更新，提速重点片区开发，复工南王新社区建设，确保体育场、游泳馆竣工投用。持续完善“蓬莱之心”片区功能布局与商业配套</w:t>
      </w:r>
      <w:r>
        <w:rPr>
          <w:rFonts w:hint="eastAsia"/>
          <w:strike w:val="0"/>
          <w:dstrike w:val="0"/>
          <w:color w:val="auto"/>
          <w:spacing w:val="0"/>
          <w:kern w:val="0"/>
          <w:sz w:val="32"/>
          <w:szCs w:val="32"/>
          <w:highlight w:val="none"/>
          <w:u w:val="none" w:color="auto"/>
          <w:lang w:val="en-US" w:eastAsia="zh-CN"/>
        </w:rPr>
        <w:t>，打造高品质“仙境中央生活区”。</w:t>
      </w:r>
      <w:r>
        <w:rPr>
          <w:rFonts w:hint="eastAsia"/>
          <w:color w:val="auto"/>
          <w:spacing w:val="0"/>
          <w:kern w:val="0"/>
          <w:sz w:val="32"/>
          <w:szCs w:val="32"/>
          <w:highlight w:val="none"/>
          <w:u w:val="none" w:color="auto"/>
          <w:lang w:val="en-US" w:eastAsia="zh-CN"/>
        </w:rPr>
        <w:t>着力打通城市交通脉络，贯通富民路、天津北路等6条断头路，加快县后东路、银川路2条骨干道路改造，更新增设100个智能化公交站亭，全面提升路网通行效率。充分挖掘城市各类“金角银边”，配建“小而美”的全民健身场地。</w:t>
      </w:r>
      <w:r>
        <w:rPr>
          <w:rFonts w:hint="eastAsia"/>
          <w:strike w:val="0"/>
          <w:dstrike w:val="0"/>
          <w:color w:val="auto"/>
          <w:spacing w:val="0"/>
          <w:kern w:val="0"/>
          <w:sz w:val="32"/>
          <w:szCs w:val="32"/>
          <w:highlight w:val="none"/>
          <w:u w:val="none" w:color="auto"/>
          <w:lang w:val="en-US" w:eastAsia="zh-CN"/>
        </w:rPr>
        <w:t>加快公用设施更新，</w:t>
      </w:r>
      <w:r>
        <w:rPr>
          <w:rFonts w:hint="eastAsia"/>
          <w:color w:val="auto"/>
          <w:spacing w:val="0"/>
          <w:kern w:val="0"/>
          <w:sz w:val="32"/>
          <w:szCs w:val="32"/>
          <w:highlight w:val="none"/>
          <w:u w:val="none" w:color="auto"/>
          <w:lang w:val="en-US" w:eastAsia="zh-CN"/>
        </w:rPr>
        <w:t>实施西关古街等8处雨污分流改造，</w:t>
      </w:r>
      <w:r>
        <w:rPr>
          <w:rFonts w:hint="eastAsia" w:ascii="仿宋_GB2312" w:hAnsi="仿宋_GB2312" w:eastAsia="仿宋_GB2312" w:cs="仿宋_GB2312"/>
          <w:color w:val="auto"/>
          <w:spacing w:val="0"/>
          <w:kern w:val="0"/>
          <w:sz w:val="32"/>
          <w:szCs w:val="32"/>
          <w:highlight w:val="none"/>
          <w:u w:val="none" w:color="auto"/>
          <w:lang w:val="en-US" w:eastAsia="zh-CN"/>
        </w:rPr>
        <w:t>新建</w:t>
      </w:r>
      <w:r>
        <w:rPr>
          <w:rFonts w:hint="eastAsia" w:cs="仿宋_GB2312"/>
          <w:color w:val="auto"/>
          <w:spacing w:val="0"/>
          <w:kern w:val="0"/>
          <w:sz w:val="32"/>
          <w:szCs w:val="32"/>
          <w:highlight w:val="none"/>
          <w:u w:val="none" w:color="auto"/>
          <w:lang w:val="en-US" w:eastAsia="zh-CN"/>
        </w:rPr>
        <w:t>改建6处供热设施。实施30个老旧小区改造</w:t>
      </w:r>
      <w:r>
        <w:rPr>
          <w:rFonts w:hint="eastAsia"/>
          <w:color w:val="auto"/>
          <w:spacing w:val="0"/>
          <w:kern w:val="0"/>
          <w:sz w:val="32"/>
          <w:szCs w:val="32"/>
          <w:highlight w:val="none"/>
          <w:u w:val="none" w:color="auto"/>
          <w:lang w:val="en-US" w:eastAsia="zh-CN"/>
        </w:rPr>
        <w:t>，稳妥推进6个旧村改造历史遗留问题化解。</w:t>
      </w:r>
    </w:p>
    <w:p w14:paraId="082BD3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着力建设绿色低碳的美丽城市。</w:t>
      </w:r>
      <w:r>
        <w:rPr>
          <w:rFonts w:hint="eastAsia"/>
          <w:color w:val="auto"/>
          <w:spacing w:val="6"/>
          <w:kern w:val="0"/>
          <w:sz w:val="32"/>
          <w:szCs w:val="32"/>
          <w:highlight w:val="none"/>
          <w:u w:val="none" w:color="auto"/>
          <w:lang w:val="en-US" w:eastAsia="zh-CN"/>
        </w:rPr>
        <w:t>更加注重源头治理，协同推进降碳、减污、扩绿、增长，举一反三抓好环保督察反馈问题整改。深入实施空气质量提升行动，强化饮用水水源地保护与</w:t>
      </w:r>
      <w:r>
        <w:rPr>
          <w:rFonts w:hint="eastAsia"/>
          <w:color w:val="auto"/>
          <w:spacing w:val="0"/>
          <w:kern w:val="0"/>
          <w:sz w:val="32"/>
          <w:szCs w:val="32"/>
          <w:highlight w:val="none"/>
          <w:u w:val="none" w:color="auto"/>
          <w:lang w:val="en-US" w:eastAsia="zh-CN"/>
        </w:rPr>
        <w:t>水环境</w:t>
      </w:r>
      <w:r>
        <w:rPr>
          <w:rFonts w:hint="eastAsia"/>
          <w:color w:val="auto"/>
          <w:spacing w:val="-6"/>
          <w:kern w:val="0"/>
          <w:sz w:val="32"/>
          <w:szCs w:val="32"/>
          <w:highlight w:val="none"/>
          <w:u w:val="none" w:color="auto"/>
          <w:lang w:val="en-US" w:eastAsia="zh-CN"/>
        </w:rPr>
        <w:t>整治，</w:t>
      </w:r>
      <w:r>
        <w:rPr>
          <w:rFonts w:hint="eastAsia"/>
          <w:color w:val="auto"/>
          <w:spacing w:val="0"/>
          <w:kern w:val="0"/>
          <w:sz w:val="32"/>
          <w:szCs w:val="32"/>
          <w:highlight w:val="none"/>
          <w:u w:val="none" w:color="auto"/>
          <w:lang w:val="en-US" w:eastAsia="zh-CN"/>
        </w:rPr>
        <w:t>确保土壤环境质量安全。积极推进煤电转型升级，加快中兴电力超超临界燃煤电厂项目建设。打造2个以上省级绿</w:t>
      </w:r>
      <w:r>
        <w:rPr>
          <w:rFonts w:hint="eastAsia"/>
          <w:color w:val="auto"/>
          <w:spacing w:val="-6"/>
          <w:kern w:val="0"/>
          <w:sz w:val="32"/>
          <w:szCs w:val="32"/>
          <w:highlight w:val="none"/>
          <w:u w:val="none" w:color="auto"/>
          <w:lang w:val="en-US" w:eastAsia="zh-CN"/>
        </w:rPr>
        <w:t>色建造示范项目，新增绿色建筑面积不少于50万平方米，新增100个电动汽车充电桩。大力发展循环经济，</w:t>
      </w:r>
      <w:r>
        <w:rPr>
          <w:rFonts w:hint="eastAsia"/>
          <w:strike w:val="0"/>
          <w:dstrike w:val="0"/>
          <w:color w:val="auto"/>
          <w:spacing w:val="0"/>
          <w:kern w:val="0"/>
          <w:sz w:val="32"/>
          <w:szCs w:val="32"/>
          <w:highlight w:val="none"/>
          <w:u w:val="none" w:color="auto"/>
          <w:lang w:val="en-US" w:eastAsia="zh-CN"/>
        </w:rPr>
        <w:t>推进生活垃圾、建筑垃</w:t>
      </w:r>
      <w:r>
        <w:rPr>
          <w:rFonts w:hint="eastAsia"/>
          <w:strike w:val="0"/>
          <w:dstrike w:val="0"/>
          <w:color w:val="auto"/>
          <w:spacing w:val="-6"/>
          <w:kern w:val="0"/>
          <w:sz w:val="32"/>
          <w:szCs w:val="32"/>
          <w:highlight w:val="none"/>
          <w:u w:val="none" w:color="auto"/>
          <w:lang w:val="en-US" w:eastAsia="zh-CN"/>
        </w:rPr>
        <w:t>圾等源头减量和资源化利用，</w:t>
      </w:r>
      <w:r>
        <w:rPr>
          <w:rFonts w:hint="eastAsia"/>
          <w:color w:val="auto"/>
          <w:spacing w:val="-6"/>
          <w:kern w:val="0"/>
          <w:sz w:val="32"/>
          <w:szCs w:val="32"/>
          <w:highlight w:val="none"/>
          <w:u w:val="none" w:color="auto"/>
          <w:lang w:val="en-US" w:eastAsia="zh-CN"/>
        </w:rPr>
        <w:t>倡导简约适度、绿色低碳的生活方式。</w:t>
      </w:r>
    </w:p>
    <w:p w14:paraId="63B906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着力建设精细治理的韧性城市。</w:t>
      </w:r>
      <w:r>
        <w:rPr>
          <w:rFonts w:hint="eastAsia"/>
          <w:color w:val="auto"/>
          <w:spacing w:val="0"/>
          <w:kern w:val="0"/>
          <w:sz w:val="32"/>
          <w:szCs w:val="32"/>
          <w:highlight w:val="none"/>
          <w:u w:val="none" w:color="auto"/>
          <w:lang w:val="en-US" w:eastAsia="zh-CN"/>
        </w:rPr>
        <w:t>下足“绣花功夫”，推动城市精细化管理。深化“城市大脑”建设应用，拓展智慧城管、智慧社区等应用场景，推动城市管理由“人工巡查”向“智能预警”转变。完善“大城管”工作机制，</w:t>
      </w:r>
      <w:r>
        <w:rPr>
          <w:rFonts w:hint="eastAsia"/>
          <w:strike w:val="0"/>
          <w:dstrike w:val="0"/>
          <w:color w:val="auto"/>
          <w:spacing w:val="0"/>
          <w:kern w:val="0"/>
          <w:sz w:val="32"/>
          <w:szCs w:val="32"/>
          <w:highlight w:val="none"/>
          <w:u w:val="none" w:color="auto"/>
          <w:lang w:val="en-US" w:eastAsia="zh-CN"/>
        </w:rPr>
        <w:t>提升柔性执法温度，</w:t>
      </w:r>
      <w:r>
        <w:rPr>
          <w:rFonts w:hint="eastAsia"/>
          <w:color w:val="auto"/>
          <w:spacing w:val="0"/>
          <w:kern w:val="0"/>
          <w:sz w:val="32"/>
          <w:szCs w:val="32"/>
          <w:highlight w:val="none"/>
          <w:u w:val="none" w:color="auto"/>
          <w:lang w:val="en-US" w:eastAsia="zh-CN"/>
        </w:rPr>
        <w:t>规范27个夜市、便民摊点，构建管理规范有序、烟火气息浓郁的城市生态。广泛动员群众参与市容环境整治，凝聚共建共治合力。</w:t>
      </w:r>
    </w:p>
    <w:p w14:paraId="2F3370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（六）矢志不渝在厚植共同富裕新福祉上攻坚突破。</w:t>
      </w:r>
      <w:r>
        <w:rPr>
          <w:rFonts w:hint="eastAsia"/>
          <w:color w:val="auto"/>
          <w:spacing w:val="0"/>
          <w:kern w:val="0"/>
          <w:sz w:val="32"/>
          <w:szCs w:val="32"/>
          <w:highlight w:val="none"/>
          <w:u w:val="none" w:color="auto"/>
          <w:lang w:val="en-US" w:eastAsia="zh-CN"/>
        </w:rPr>
        <w:t>坚持投资于物和投资于人紧密结合，紧紧抓住人民群众最关心最直接最现实的利益问题，倾力书写民生幸福新答卷。</w:t>
      </w:r>
    </w:p>
    <w:p w14:paraId="1CFB1F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促进更高质量充分就业。</w:t>
      </w:r>
      <w:r>
        <w:rPr>
          <w:rFonts w:hint="eastAsia"/>
          <w:color w:val="auto"/>
          <w:spacing w:val="0"/>
          <w:kern w:val="0"/>
          <w:sz w:val="32"/>
          <w:szCs w:val="32"/>
          <w:highlight w:val="none"/>
          <w:u w:val="none" w:color="auto"/>
          <w:lang w:val="en-US" w:eastAsia="zh-CN"/>
        </w:rPr>
        <w:t>坚持把就业作为民生之本，完善</w:t>
      </w:r>
      <w:r>
        <w:rPr>
          <w:rFonts w:hint="eastAsia"/>
          <w:strike w:val="0"/>
          <w:dstrike w:val="0"/>
          <w:color w:val="auto"/>
          <w:spacing w:val="0"/>
          <w:kern w:val="0"/>
          <w:sz w:val="32"/>
          <w:szCs w:val="32"/>
          <w:highlight w:val="none"/>
          <w:u w:val="none" w:color="auto"/>
          <w:lang w:val="en-US" w:eastAsia="zh-CN"/>
        </w:rPr>
        <w:t>高</w:t>
      </w:r>
      <w:r>
        <w:rPr>
          <w:rFonts w:hint="eastAsia"/>
          <w:strike w:val="0"/>
          <w:dstrike w:val="0"/>
          <w:color w:val="auto"/>
          <w:spacing w:val="-6"/>
          <w:kern w:val="0"/>
          <w:sz w:val="32"/>
          <w:szCs w:val="32"/>
          <w:highlight w:val="none"/>
          <w:u w:val="none" w:color="auto"/>
          <w:lang w:val="en-US" w:eastAsia="zh-CN"/>
        </w:rPr>
        <w:t>校毕业生、农民工、退役军人等</w:t>
      </w:r>
      <w:r>
        <w:rPr>
          <w:rFonts w:hint="eastAsia"/>
          <w:color w:val="auto"/>
          <w:spacing w:val="-6"/>
          <w:kern w:val="0"/>
          <w:sz w:val="32"/>
          <w:szCs w:val="32"/>
          <w:highlight w:val="none"/>
          <w:u w:val="none" w:color="auto"/>
          <w:lang w:val="en-US" w:eastAsia="zh-CN"/>
        </w:rPr>
        <w:t>重点群体就业支持体系，加强就业</w:t>
      </w:r>
      <w:r>
        <w:rPr>
          <w:rFonts w:hint="eastAsia"/>
          <w:color w:val="auto"/>
          <w:spacing w:val="0"/>
          <w:kern w:val="0"/>
          <w:sz w:val="32"/>
          <w:szCs w:val="32"/>
          <w:highlight w:val="none"/>
          <w:u w:val="none" w:color="auto"/>
          <w:lang w:val="en-US" w:eastAsia="zh-CN"/>
        </w:rPr>
        <w:t>困难人员服务保障和就业援助，新增城镇就业6000人以</w:t>
      </w:r>
      <w:r>
        <w:rPr>
          <w:rFonts w:hint="eastAsia"/>
          <w:color w:val="auto"/>
          <w:spacing w:val="-6"/>
          <w:kern w:val="0"/>
          <w:sz w:val="32"/>
          <w:szCs w:val="32"/>
          <w:highlight w:val="none"/>
          <w:u w:val="none" w:color="auto"/>
          <w:lang w:val="en-US" w:eastAsia="zh-CN"/>
        </w:rPr>
        <w:t>上。加强“乐业蓬莱”数智平台建设，开展职业技能培训3400人次以上。加大创业支持力度，</w:t>
      </w:r>
      <w:r>
        <w:rPr>
          <w:rFonts w:hint="eastAsia"/>
          <w:strike w:val="0"/>
          <w:dstrike w:val="0"/>
          <w:color w:val="auto"/>
          <w:spacing w:val="0"/>
          <w:kern w:val="0"/>
          <w:sz w:val="32"/>
          <w:szCs w:val="32"/>
          <w:highlight w:val="none"/>
          <w:u w:val="none" w:color="auto"/>
          <w:lang w:val="en-US" w:eastAsia="zh-CN"/>
        </w:rPr>
        <w:t>推动创业带动就业，</w:t>
      </w:r>
      <w:r>
        <w:rPr>
          <w:rFonts w:hint="eastAsia"/>
          <w:color w:val="auto"/>
          <w:spacing w:val="-6"/>
          <w:kern w:val="0"/>
          <w:sz w:val="32"/>
          <w:szCs w:val="32"/>
          <w:highlight w:val="none"/>
          <w:u w:val="none" w:color="auto"/>
          <w:lang w:val="en-US" w:eastAsia="zh-CN"/>
        </w:rPr>
        <w:t>发放创业担保贷款8500万元以上。加强灵活就业劳动者权益保障，加大农民工工资治欠保支力度，确保劳动争议案件结案率保持在98%以上。</w:t>
      </w:r>
    </w:p>
    <w:p w14:paraId="7A3540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办好</w:t>
      </w:r>
      <w:r>
        <w:rPr>
          <w:rFonts w:hint="eastAsia" w:ascii="黑体" w:hAnsi="黑体" w:eastAsia="黑体" w:cs="黑体"/>
          <w:color w:val="auto"/>
          <w:spacing w:val="-6"/>
          <w:kern w:val="0"/>
          <w:sz w:val="32"/>
          <w:szCs w:val="32"/>
          <w:highlight w:val="none"/>
          <w:u w:val="none" w:color="auto"/>
          <w:lang w:val="en-US" w:eastAsia="zh-CN"/>
        </w:rPr>
        <w:t>人民满意教育。</w:t>
      </w:r>
      <w:r>
        <w:rPr>
          <w:rFonts w:hint="eastAsia"/>
          <w:color w:val="auto"/>
          <w:spacing w:val="-6"/>
          <w:kern w:val="0"/>
          <w:sz w:val="32"/>
          <w:szCs w:val="32"/>
          <w:highlight w:val="none"/>
          <w:u w:val="none" w:color="auto"/>
          <w:lang w:val="en-US" w:eastAsia="zh-CN"/>
        </w:rPr>
        <w:t>实施新时代立德树人工程，完善教育评价体系，</w:t>
      </w:r>
      <w:r>
        <w:rPr>
          <w:rFonts w:hint="eastAsia"/>
          <w:color w:val="auto"/>
          <w:spacing w:val="0"/>
          <w:kern w:val="0"/>
          <w:sz w:val="32"/>
          <w:szCs w:val="32"/>
          <w:highlight w:val="none"/>
          <w:u w:val="none" w:color="auto"/>
          <w:lang w:val="en-US" w:eastAsia="zh-CN"/>
        </w:rPr>
        <w:t>努力让每名学生健康成长、全面发展。健全师德师风建设长效机制，打造高素质专业化教师队伍。持续巩固“双减”工作成果，推动基础教育扩优提质，统筹学前教育普惠发展、义务教育优质均衡发展，不断提升普通高中教育水平，加强职业学校办学能力，办好特殊教育</w:t>
      </w:r>
      <w:r>
        <w:rPr>
          <w:rFonts w:hint="eastAsia"/>
          <w:strike w:val="0"/>
          <w:dstrike w:val="0"/>
          <w:color w:val="auto"/>
          <w:spacing w:val="0"/>
          <w:kern w:val="0"/>
          <w:sz w:val="32"/>
          <w:szCs w:val="32"/>
          <w:highlight w:val="none"/>
          <w:u w:val="none" w:color="auto"/>
          <w:lang w:val="en-US" w:eastAsia="zh-CN"/>
        </w:rPr>
        <w:t>，加快构建区域高质量教育发展体系。</w:t>
      </w:r>
      <w:r>
        <w:rPr>
          <w:rFonts w:hint="eastAsia"/>
          <w:color w:val="auto"/>
          <w:spacing w:val="0"/>
          <w:kern w:val="0"/>
          <w:sz w:val="32"/>
          <w:szCs w:val="32"/>
          <w:highlight w:val="none"/>
          <w:u w:val="none" w:color="auto"/>
          <w:lang w:val="en-US" w:eastAsia="zh-CN"/>
        </w:rPr>
        <w:t>统筹各类资源改善办学条件，为32所公办学校教室和宿舍加装空调，积极探索安全营养、经济实惠的学生午餐供应模式。</w:t>
      </w:r>
    </w:p>
    <w:p w14:paraId="3F03C9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深化健康蓬莱建设。</w:t>
      </w:r>
      <w:r>
        <w:rPr>
          <w:rFonts w:hint="eastAsia"/>
          <w:color w:val="auto"/>
          <w:spacing w:val="0"/>
          <w:kern w:val="0"/>
          <w:sz w:val="32"/>
          <w:szCs w:val="32"/>
          <w:highlight w:val="none"/>
          <w:u w:val="none" w:color="auto"/>
          <w:lang w:val="en-US" w:eastAsia="zh-CN"/>
        </w:rPr>
        <w:t>完善疾病预防控制体系，提升公共卫生服务能力。推动医疗资源提质扩容，新搭建2个医联体，积极推进人民医院改造提升、中医医院肿瘤放疗中心2个重点项目，完成新港卫生服务中心改建、31处薄弱村卫生室改造提升。深化医保支付方式改革，实施“万名医护进乡村”等惠民活动，进一步减轻群众就医负担。发展医育、医养结合服务，争创全国示范性老年友好型社区。</w:t>
      </w:r>
    </w:p>
    <w:p w14:paraId="09BB9F2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健全社会保障体系。</w:t>
      </w:r>
      <w:r>
        <w:rPr>
          <w:rFonts w:hint="eastAsia"/>
          <w:color w:val="auto"/>
          <w:spacing w:val="0"/>
          <w:kern w:val="0"/>
          <w:sz w:val="32"/>
          <w:szCs w:val="32"/>
          <w:highlight w:val="none"/>
          <w:u w:val="none" w:color="auto"/>
          <w:lang w:val="en-US" w:eastAsia="zh-CN"/>
        </w:rPr>
        <w:t>扩大失业、工伤保险覆盖面，稳步提高低保、特困供养等救助保障水平，加强空巢老人、残疾人、妇女、儿童等群体服务保障</w:t>
      </w:r>
      <w:r>
        <w:rPr>
          <w:rFonts w:hint="eastAsia"/>
          <w:strike w:val="0"/>
          <w:dstrike w:val="0"/>
          <w:color w:val="auto"/>
          <w:spacing w:val="0"/>
          <w:kern w:val="0"/>
          <w:sz w:val="32"/>
          <w:szCs w:val="32"/>
          <w:highlight w:val="none"/>
          <w:u w:val="none" w:color="auto"/>
          <w:lang w:val="en-US" w:eastAsia="zh-CN"/>
        </w:rPr>
        <w:t>，坚决兜住民生底线。</w:t>
      </w:r>
      <w:r>
        <w:rPr>
          <w:rFonts w:hint="eastAsia"/>
          <w:color w:val="auto"/>
          <w:spacing w:val="0"/>
          <w:kern w:val="0"/>
          <w:sz w:val="32"/>
          <w:szCs w:val="32"/>
          <w:highlight w:val="none"/>
          <w:u w:val="none" w:color="auto"/>
          <w:lang w:val="en-US" w:eastAsia="zh-CN"/>
        </w:rPr>
        <w:t>优化基本殡葬服务，加快推进公益性公墓建设。全面落实烟台市房地产稳健发展25条政策措施，优化保障性住房供给，新建5个高品质住宅。加强弃管小区物业管理，打造一批“党建引领、治理高效、群众满意”的精品示范小区。</w:t>
      </w:r>
      <w:r>
        <w:rPr>
          <w:rFonts w:hint="eastAsia"/>
          <w:strike w:val="0"/>
          <w:dstrike w:val="0"/>
          <w:color w:val="auto"/>
          <w:spacing w:val="0"/>
          <w:kern w:val="0"/>
          <w:sz w:val="32"/>
          <w:szCs w:val="32"/>
          <w:highlight w:val="none"/>
          <w:u w:val="none" w:color="auto"/>
          <w:lang w:val="en-US" w:eastAsia="zh-CN"/>
        </w:rPr>
        <w:t>倡导积极婚姻观，</w:t>
      </w:r>
      <w:r>
        <w:rPr>
          <w:rFonts w:hint="eastAsia"/>
          <w:color w:val="auto"/>
          <w:spacing w:val="0"/>
          <w:kern w:val="0"/>
          <w:sz w:val="32"/>
          <w:szCs w:val="32"/>
          <w:highlight w:val="none"/>
          <w:u w:val="none" w:color="auto"/>
          <w:lang w:val="en-US" w:eastAsia="zh-CN"/>
        </w:rPr>
        <w:t>落实生育支持政策和激励措施，促进人口高质量发展。</w:t>
      </w:r>
    </w:p>
    <w:p w14:paraId="08CD55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（七）矢志不渝在深化改革与扩大开放上攻坚突破。</w:t>
      </w:r>
      <w:r>
        <w:rPr>
          <w:rFonts w:hint="eastAsia"/>
          <w:color w:val="auto"/>
          <w:spacing w:val="0"/>
          <w:kern w:val="0"/>
          <w:sz w:val="32"/>
          <w:szCs w:val="32"/>
          <w:highlight w:val="none"/>
          <w:u w:val="none" w:color="auto"/>
          <w:lang w:val="en-US" w:eastAsia="zh-CN"/>
        </w:rPr>
        <w:t>坚持向改革要动力、向开放要活力，以更深层次改革破解发展瓶颈，以更高水平开放汇聚资源要素，塑强区域发展竞争新优势。</w:t>
      </w:r>
    </w:p>
    <w:p w14:paraId="04E9CD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深化关键领域改革。</w:t>
      </w:r>
      <w:r>
        <w:rPr>
          <w:rFonts w:hint="eastAsia"/>
          <w:color w:val="auto"/>
          <w:spacing w:val="0"/>
          <w:kern w:val="0"/>
          <w:sz w:val="32"/>
          <w:szCs w:val="32"/>
          <w:highlight w:val="none"/>
          <w:u w:val="none" w:color="auto"/>
          <w:lang w:val="en-US" w:eastAsia="zh-CN"/>
        </w:rPr>
        <w:t>坚持以经济体制改革为牵引，着力破解制约高质量发展的体制机制障碍。深化</w:t>
      </w:r>
      <w:bookmarkStart w:id="2" w:name="OLE_LINK2"/>
      <w:r>
        <w:rPr>
          <w:rFonts w:hint="eastAsia"/>
          <w:color w:val="auto"/>
          <w:spacing w:val="0"/>
          <w:kern w:val="0"/>
          <w:sz w:val="32"/>
          <w:szCs w:val="32"/>
          <w:highlight w:val="none"/>
          <w:u w:val="none" w:color="auto"/>
          <w:lang w:val="en-US" w:eastAsia="zh-CN"/>
        </w:rPr>
        <w:t>要素市场化改革</w:t>
      </w:r>
      <w:bookmarkEnd w:id="2"/>
      <w:r>
        <w:rPr>
          <w:rFonts w:hint="eastAsia"/>
          <w:color w:val="auto"/>
          <w:spacing w:val="0"/>
          <w:kern w:val="0"/>
          <w:sz w:val="32"/>
          <w:szCs w:val="32"/>
          <w:highlight w:val="none"/>
          <w:u w:val="none" w:color="auto"/>
          <w:lang w:val="en-US" w:eastAsia="zh-CN"/>
        </w:rPr>
        <w:t>，积极融入和服务全国统一大市场，</w:t>
      </w:r>
      <w:r>
        <w:rPr>
          <w:rFonts w:hint="eastAsia"/>
          <w:strike w:val="0"/>
          <w:dstrike w:val="0"/>
          <w:color w:val="auto"/>
          <w:spacing w:val="0"/>
          <w:kern w:val="0"/>
          <w:sz w:val="32"/>
          <w:szCs w:val="32"/>
          <w:highlight w:val="none"/>
          <w:u w:val="none" w:color="auto"/>
          <w:lang w:val="en-US" w:eastAsia="zh-CN"/>
        </w:rPr>
        <w:t>开展市场准入壁垒、妨碍公平竞争排查整治，</w:t>
      </w:r>
      <w:r>
        <w:rPr>
          <w:rFonts w:hint="eastAsia"/>
          <w:color w:val="auto"/>
          <w:spacing w:val="0"/>
          <w:kern w:val="0"/>
          <w:sz w:val="32"/>
          <w:szCs w:val="32"/>
          <w:highlight w:val="none"/>
          <w:u w:val="none" w:color="auto"/>
          <w:lang w:val="en-US" w:eastAsia="zh-CN"/>
        </w:rPr>
        <w:t>推动有效市场和有为政府更好结合。深化国资国企改革，提升国资监管水平，推进城投集团等国企聚焦主业稳健发展。深化财政金融改革，加强财政资源和预算统筹，完善财金联动机制，</w:t>
      </w:r>
      <w:r>
        <w:rPr>
          <w:rFonts w:hint="eastAsia"/>
          <w:strike w:val="0"/>
          <w:dstrike w:val="0"/>
          <w:color w:val="auto"/>
          <w:spacing w:val="0"/>
          <w:kern w:val="0"/>
          <w:sz w:val="32"/>
          <w:szCs w:val="32"/>
          <w:highlight w:val="none"/>
          <w:u w:val="none" w:color="auto"/>
          <w:lang w:val="en-US" w:eastAsia="zh-CN"/>
        </w:rPr>
        <w:t>加快融资平台转型。</w:t>
      </w:r>
      <w:r>
        <w:rPr>
          <w:rFonts w:hint="eastAsia"/>
          <w:color w:val="auto"/>
          <w:spacing w:val="0"/>
          <w:kern w:val="0"/>
          <w:sz w:val="32"/>
          <w:szCs w:val="32"/>
          <w:highlight w:val="none"/>
          <w:u w:val="none" w:color="auto"/>
          <w:lang w:val="en-US" w:eastAsia="zh-CN"/>
        </w:rPr>
        <w:t>深化农村改革，探索农村产权规范化流转交易机制</w:t>
      </w:r>
      <w:r>
        <w:rPr>
          <w:rFonts w:hint="default" w:ascii="仿宋_GB2312" w:hAnsi="仿宋_GB2312" w:eastAsia="仿宋_GB2312" w:cs="仿宋_GB2312"/>
          <w:b w:val="0"/>
          <w:bCs w:val="0"/>
          <w:color w:val="auto"/>
          <w:spacing w:val="0"/>
          <w:kern w:val="0"/>
          <w:position w:val="0"/>
          <w:sz w:val="32"/>
          <w:szCs w:val="32"/>
          <w:highlight w:val="none"/>
          <w:u w:val="none" w:color="auto"/>
          <w:lang w:val="en-US" w:eastAsia="zh-CN" w:bidi="ar"/>
        </w:rPr>
        <w:t>。</w:t>
      </w:r>
      <w:r>
        <w:rPr>
          <w:rFonts w:hint="eastAsia"/>
          <w:color w:val="auto"/>
          <w:spacing w:val="0"/>
          <w:kern w:val="0"/>
          <w:sz w:val="32"/>
          <w:szCs w:val="32"/>
          <w:highlight w:val="none"/>
          <w:u w:val="none" w:color="auto"/>
          <w:lang w:val="en-US" w:eastAsia="zh-CN"/>
        </w:rPr>
        <w:t>扎实推进产业工人队伍建设</w:t>
      </w:r>
      <w:bookmarkStart w:id="4" w:name="_GoBack"/>
      <w:bookmarkEnd w:id="4"/>
      <w:r>
        <w:rPr>
          <w:rFonts w:hint="eastAsia"/>
          <w:color w:val="auto"/>
          <w:spacing w:val="0"/>
          <w:kern w:val="0"/>
          <w:sz w:val="32"/>
          <w:szCs w:val="32"/>
          <w:highlight w:val="none"/>
          <w:u w:val="none" w:color="auto"/>
          <w:lang w:val="en-US" w:eastAsia="zh-CN"/>
        </w:rPr>
        <w:t>改革，打造高技能人才队伍。</w:t>
      </w:r>
      <w:r>
        <w:rPr>
          <w:rFonts w:hint="eastAsia"/>
          <w:color w:val="auto"/>
          <w:spacing w:val="-6"/>
          <w:kern w:val="0"/>
          <w:sz w:val="32"/>
          <w:szCs w:val="32"/>
          <w:highlight w:val="none"/>
          <w:u w:val="none" w:color="auto"/>
          <w:lang w:val="en-US" w:eastAsia="zh-CN"/>
        </w:rPr>
        <w:t>统筹推进科技、民生等领域改革，争取落地更多市级以上改革试点。</w:t>
      </w:r>
    </w:p>
    <w:p w14:paraId="06B8066C">
      <w:pPr>
        <w:pStyle w:val="17"/>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color w:val="auto"/>
          <w:spacing w:val="0"/>
          <w:kern w:val="0"/>
          <w:positio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拓展开放合作空间。</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
        </w:rPr>
        <w:t>强化外贸主体培育，年内新增外贸实绩企业20家以上。坚持内外贸一体化发展，</w:t>
      </w:r>
      <w:r>
        <w:rPr>
          <w:rFonts w:hint="eastAsia" w:cs="仿宋_GB2312"/>
          <w:b w:val="0"/>
          <w:bCs w:val="0"/>
          <w:color w:val="auto"/>
          <w:spacing w:val="0"/>
          <w:kern w:val="0"/>
          <w:position w:val="0"/>
          <w:sz w:val="32"/>
          <w:szCs w:val="32"/>
          <w:highlight w:val="none"/>
          <w:u w:val="none" w:color="auto"/>
          <w:lang w:val="en-US" w:eastAsia="zh-CN" w:bidi="ar"/>
        </w:rPr>
        <w:t>组织企业参加境内外重点展会20场以上，</w:t>
      </w:r>
      <w:r>
        <w:rPr>
          <w:rFonts w:hint="eastAsia" w:ascii="仿宋_GB2312" w:hAnsi="仿宋_GB2312" w:eastAsia="仿宋_GB2312" w:cs="仿宋_GB2312"/>
          <w:strike w:val="0"/>
          <w:dstrike w:val="0"/>
          <w:color w:val="auto"/>
          <w:spacing w:val="0"/>
          <w:kern w:val="0"/>
          <w:sz w:val="32"/>
          <w:szCs w:val="32"/>
          <w:highlight w:val="none"/>
          <w:u w:val="none" w:color="auto"/>
          <w:lang w:val="en-US" w:eastAsia="zh-CN" w:bidi="ar-SA"/>
        </w:rPr>
        <w:t>助力企业开拓更多海内外市场。</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
        </w:rPr>
        <w:t>持续做大跨境电商、市场采购等新业态新模式</w:t>
      </w:r>
      <w:r>
        <w:rPr>
          <w:rFonts w:hint="eastAsia" w:cs="仿宋_GB2312"/>
          <w:b w:val="0"/>
          <w:bCs w:val="0"/>
          <w:color w:val="auto"/>
          <w:spacing w:val="0"/>
          <w:kern w:val="0"/>
          <w:position w:val="0"/>
          <w:sz w:val="32"/>
          <w:szCs w:val="32"/>
          <w:highlight w:val="none"/>
          <w:u w:val="none" w:color="auto"/>
          <w:lang w:val="en-US" w:eastAsia="zh-CN" w:bidi="ar"/>
        </w:rPr>
        <w:t>，</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
        </w:rPr>
        <w:t>引导康爱特、高升酒业建设海外仓，</w:t>
      </w:r>
      <w:r>
        <w:rPr>
          <w:rFonts w:hint="eastAsia" w:cs="仿宋_GB2312"/>
          <w:b w:val="0"/>
          <w:bCs w:val="0"/>
          <w:color w:val="auto"/>
          <w:spacing w:val="0"/>
          <w:kern w:val="0"/>
          <w:position w:val="0"/>
          <w:sz w:val="32"/>
          <w:szCs w:val="32"/>
          <w:highlight w:val="none"/>
          <w:u w:val="none" w:color="auto"/>
          <w:lang w:val="en-US" w:eastAsia="zh-CN" w:bidi="ar"/>
        </w:rPr>
        <w:t>支持蓬莱东港开辟沙特和印尼航线</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bidi="ar"/>
        </w:rPr>
        <w:t>。</w:t>
      </w:r>
      <w:r>
        <w:rPr>
          <w:rFonts w:hint="eastAsia" w:ascii="仿宋_GB2312" w:hAnsi="仿宋_GB2312" w:eastAsia="仿宋_GB2312" w:cs="仿宋_GB2312"/>
          <w:b w:val="0"/>
          <w:bCs w:val="0"/>
          <w:color w:val="auto"/>
          <w:spacing w:val="0"/>
          <w:kern w:val="0"/>
          <w:position w:val="0"/>
          <w:sz w:val="32"/>
          <w:szCs w:val="32"/>
          <w:highlight w:val="none"/>
          <w:u w:val="none" w:color="auto"/>
          <w:lang w:val="en-US" w:eastAsia="zh-CN"/>
        </w:rPr>
        <w:t>支持开发区打造高水平对外开放先行区，在全省开发区竞争中争先进位。</w:t>
      </w:r>
      <w:r>
        <w:rPr>
          <w:rFonts w:hint="eastAsia" w:cs="仿宋_GB2312"/>
          <w:b w:val="0"/>
          <w:bCs w:val="0"/>
          <w:color w:val="auto"/>
          <w:spacing w:val="0"/>
          <w:kern w:val="0"/>
          <w:position w:val="0"/>
          <w:sz w:val="32"/>
          <w:szCs w:val="32"/>
          <w:highlight w:val="none"/>
          <w:u w:val="none" w:color="auto"/>
          <w:lang w:val="en-US" w:eastAsia="zh-CN"/>
        </w:rPr>
        <w:t>加强与国际友城交流合作，不断提升蓬莱国际影响力。</w:t>
      </w:r>
    </w:p>
    <w:p w14:paraId="7516C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强化科技创新驱动。</w:t>
      </w:r>
      <w:r>
        <w:rPr>
          <w:rFonts w:hint="eastAsia"/>
          <w:color w:val="auto"/>
          <w:spacing w:val="0"/>
          <w:kern w:val="0"/>
          <w:sz w:val="32"/>
          <w:szCs w:val="32"/>
          <w:highlight w:val="none"/>
          <w:u w:val="none" w:color="auto"/>
          <w:lang w:val="en-US" w:eastAsia="zh-CN"/>
        </w:rPr>
        <w:t>加大创新主体梯次培育力度</w:t>
      </w:r>
      <w:r>
        <w:rPr>
          <w:rFonts w:hint="default"/>
          <w:color w:val="auto"/>
          <w:spacing w:val="0"/>
          <w:kern w:val="0"/>
          <w:sz w:val="32"/>
          <w:szCs w:val="32"/>
          <w:highlight w:val="none"/>
          <w:u w:val="none" w:color="auto"/>
          <w:lang w:val="en-US" w:eastAsia="zh-CN"/>
        </w:rPr>
        <w:t>，</w:t>
      </w:r>
      <w:r>
        <w:rPr>
          <w:rFonts w:hint="eastAsia"/>
          <w:color w:val="auto"/>
          <w:spacing w:val="0"/>
          <w:kern w:val="0"/>
          <w:sz w:val="32"/>
          <w:szCs w:val="32"/>
          <w:highlight w:val="none"/>
          <w:u w:val="none" w:color="auto"/>
          <w:lang w:val="en-US" w:eastAsia="zh-CN"/>
        </w:rPr>
        <w:t>新增规上高新技术企业3家以上，力争科技金融贷款突破5.5亿元。深化与哈工程烟台研究院、中船综合院等一流院所合作，实施5项技术创新项目，打造省级工业设计中心等3个科创平台。</w:t>
      </w:r>
      <w:r>
        <w:rPr>
          <w:rFonts w:hint="eastAsia" w:ascii="仿宋_GB2312" w:hAnsi="仿宋_GB2312" w:eastAsia="仿宋_GB2312" w:cs="仿宋_GB2312"/>
          <w:b w:val="0"/>
          <w:bCs w:val="0"/>
          <w:snapToGrid w:val="0"/>
          <w:color w:val="auto"/>
          <w:spacing w:val="0"/>
          <w:kern w:val="0"/>
          <w:position w:val="0"/>
          <w:sz w:val="32"/>
          <w:szCs w:val="32"/>
          <w:highlight w:val="none"/>
          <w:u w:val="none" w:color="auto"/>
        </w:rPr>
        <w:t>加强企业品牌培育和知识产权保护，新增高价值发明专利50件以上。</w:t>
      </w:r>
      <w:r>
        <w:rPr>
          <w:rFonts w:hint="default" w:ascii="仿宋_GB2312" w:hAnsi="仿宋_GB2312" w:eastAsia="仿宋_GB2312" w:cs="仿宋_GB2312"/>
          <w:b w:val="0"/>
          <w:bCs w:val="0"/>
          <w:snapToGrid w:val="0"/>
          <w:color w:val="auto"/>
          <w:spacing w:val="0"/>
          <w:kern w:val="0"/>
          <w:position w:val="0"/>
          <w:sz w:val="32"/>
          <w:szCs w:val="32"/>
          <w:highlight w:val="none"/>
          <w:u w:val="none" w:color="auto"/>
          <w:lang w:val="en-US" w:eastAsia="zh-CN"/>
        </w:rPr>
        <w:t>深入实施人才</w:t>
      </w:r>
      <w:r>
        <w:rPr>
          <w:rFonts w:hint="eastAsia" w:ascii="仿宋_GB2312" w:hAnsi="仿宋_GB2312" w:eastAsia="仿宋_GB2312" w:cs="仿宋_GB2312"/>
          <w:b w:val="0"/>
          <w:bCs w:val="0"/>
          <w:snapToGrid w:val="0"/>
          <w:color w:val="auto"/>
          <w:spacing w:val="0"/>
          <w:kern w:val="0"/>
          <w:position w:val="0"/>
          <w:sz w:val="32"/>
          <w:szCs w:val="32"/>
          <w:highlight w:val="none"/>
          <w:u w:val="none" w:color="auto"/>
          <w:lang w:val="en-US" w:eastAsia="zh-CN"/>
        </w:rPr>
        <w:t>兴</w:t>
      </w:r>
      <w:r>
        <w:rPr>
          <w:rFonts w:hint="default" w:ascii="仿宋_GB2312" w:hAnsi="仿宋_GB2312" w:eastAsia="仿宋_GB2312" w:cs="仿宋_GB2312"/>
          <w:b w:val="0"/>
          <w:bCs w:val="0"/>
          <w:snapToGrid w:val="0"/>
          <w:color w:val="auto"/>
          <w:spacing w:val="0"/>
          <w:kern w:val="0"/>
          <w:position w:val="0"/>
          <w:sz w:val="32"/>
          <w:szCs w:val="32"/>
          <w:highlight w:val="none"/>
          <w:u w:val="none" w:color="auto"/>
          <w:lang w:val="en-US" w:eastAsia="zh-CN"/>
        </w:rPr>
        <w:t>区战略，</w:t>
      </w:r>
      <w:r>
        <w:rPr>
          <w:rFonts w:hint="default"/>
          <w:color w:val="auto"/>
          <w:spacing w:val="0"/>
          <w:kern w:val="0"/>
          <w:sz w:val="32"/>
          <w:szCs w:val="32"/>
          <w:highlight w:val="none"/>
          <w:u w:val="none" w:color="auto"/>
          <w:lang w:val="en-US" w:eastAsia="zh-CN"/>
        </w:rPr>
        <w:t>优化“引育用留”全链条服务，新增高技能人才600人以上</w:t>
      </w:r>
      <w:r>
        <w:rPr>
          <w:rFonts w:hint="eastAsia"/>
          <w:color w:val="auto"/>
          <w:spacing w:val="0"/>
          <w:kern w:val="0"/>
          <w:sz w:val="32"/>
          <w:szCs w:val="32"/>
          <w:highlight w:val="none"/>
          <w:u w:val="none" w:color="auto"/>
          <w:lang w:val="en-US" w:eastAsia="zh-CN"/>
        </w:rPr>
        <w:t>，引进高层次人才500人以上，</w:t>
      </w:r>
      <w:r>
        <w:rPr>
          <w:rFonts w:hint="default"/>
          <w:color w:val="auto"/>
          <w:spacing w:val="0"/>
          <w:kern w:val="0"/>
          <w:sz w:val="32"/>
          <w:szCs w:val="32"/>
          <w:highlight w:val="none"/>
          <w:u w:val="none" w:color="auto"/>
          <w:lang w:val="en-US" w:eastAsia="zh-CN"/>
        </w:rPr>
        <w:t>力争京鲁船业创新实践基地晋升国家级博士后科研平台。</w:t>
      </w:r>
    </w:p>
    <w:p w14:paraId="25B4D6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color w:val="auto"/>
          <w:spacing w:val="0"/>
          <w:kern w:val="0"/>
          <w:sz w:val="32"/>
          <w:szCs w:val="32"/>
          <w:highlight w:val="none"/>
          <w:u w:val="none" w:color="auto"/>
          <w:lang w:val="en-US" w:eastAsia="zh-CN"/>
        </w:rPr>
      </w:pPr>
      <w:r>
        <w:rPr>
          <w:rFonts w:hint="eastAsia" w:ascii="楷体_GB2312" w:hAnsi="楷体_GB2312" w:eastAsia="楷体_GB2312" w:cs="楷体_GB2312"/>
          <w:color w:val="auto"/>
          <w:spacing w:val="0"/>
          <w:kern w:val="0"/>
          <w:sz w:val="32"/>
          <w:szCs w:val="32"/>
          <w:highlight w:val="none"/>
          <w:u w:val="none" w:color="auto"/>
          <w:lang w:val="en-US" w:eastAsia="zh-CN"/>
        </w:rPr>
        <w:t>（八）矢志不渝在统筹发展和安全上攻坚突破。</w:t>
      </w:r>
      <w:r>
        <w:rPr>
          <w:rFonts w:hint="eastAsia"/>
          <w:color w:val="auto"/>
          <w:spacing w:val="0"/>
          <w:kern w:val="0"/>
          <w:sz w:val="32"/>
          <w:szCs w:val="32"/>
          <w:highlight w:val="none"/>
          <w:u w:val="none" w:color="auto"/>
          <w:lang w:val="en-US" w:eastAsia="zh-CN"/>
        </w:rPr>
        <w:t>坚定不移贯彻总体国家安全观，把安全发展理念贯穿发展各领域、全过程，促进高质量发展和高水平安全良性互动。</w:t>
      </w:r>
    </w:p>
    <w:p w14:paraId="10A549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持续提升本质安全应急能力。</w:t>
      </w:r>
      <w:r>
        <w:rPr>
          <w:rFonts w:hint="eastAsia"/>
          <w:color w:val="auto"/>
          <w:spacing w:val="0"/>
          <w:kern w:val="0"/>
          <w:sz w:val="32"/>
          <w:szCs w:val="32"/>
          <w:highlight w:val="none"/>
          <w:u w:val="none" w:color="auto"/>
          <w:lang w:val="en-US" w:eastAsia="zh-CN"/>
        </w:rPr>
        <w:t>打好安全生产治本攻坚收官战，</w:t>
      </w:r>
      <w:r>
        <w:rPr>
          <w:rFonts w:hint="eastAsia"/>
          <w:strike w:val="0"/>
          <w:dstrike w:val="0"/>
          <w:color w:val="auto"/>
          <w:spacing w:val="0"/>
          <w:kern w:val="0"/>
          <w:sz w:val="32"/>
          <w:szCs w:val="32"/>
          <w:highlight w:val="none"/>
          <w:u w:val="none" w:color="auto"/>
          <w:lang w:val="en-US" w:eastAsia="zh-CN"/>
        </w:rPr>
        <w:t>加强化工、矿山、道路交通、海上作业、建筑施工、城镇燃气等重点领域安全防控，</w:t>
      </w:r>
      <w:r>
        <w:rPr>
          <w:rFonts w:hint="eastAsia"/>
          <w:color w:val="auto"/>
          <w:spacing w:val="0"/>
          <w:kern w:val="0"/>
          <w:sz w:val="32"/>
          <w:szCs w:val="32"/>
          <w:highlight w:val="none"/>
          <w:u w:val="none" w:color="auto"/>
          <w:lang w:val="en-US" w:eastAsia="zh-CN"/>
        </w:rPr>
        <w:t>坚决防范遏制重特大事故发生。完善森林防火、防汛抗旱、极端天气</w:t>
      </w:r>
      <w:r>
        <w:rPr>
          <w:rFonts w:hint="eastAsia"/>
          <w:strike w:val="0"/>
          <w:dstrike w:val="0"/>
          <w:color w:val="auto"/>
          <w:spacing w:val="0"/>
          <w:kern w:val="0"/>
          <w:sz w:val="32"/>
          <w:szCs w:val="32"/>
          <w:highlight w:val="none"/>
          <w:u w:val="none" w:color="auto"/>
          <w:lang w:val="en-US" w:eastAsia="zh-CN"/>
        </w:rPr>
        <w:t>、校园安全、高层建筑火灾</w:t>
      </w:r>
      <w:r>
        <w:rPr>
          <w:rFonts w:hint="eastAsia"/>
          <w:color w:val="auto"/>
          <w:spacing w:val="0"/>
          <w:kern w:val="0"/>
          <w:sz w:val="32"/>
          <w:szCs w:val="32"/>
          <w:highlight w:val="none"/>
          <w:u w:val="none" w:color="auto"/>
          <w:lang w:val="en-US" w:eastAsia="zh-CN"/>
        </w:rPr>
        <w:t>等风险防范机制，健全应急指挥救援体系，提升防灾减灾救灾能力。严格落实食品药品全链条监管，守护群众舌尖上的安全。</w:t>
      </w:r>
    </w:p>
    <w:p w14:paraId="10E83C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坚决筑牢重点领域安全防线。</w:t>
      </w:r>
      <w:r>
        <w:rPr>
          <w:rFonts w:hint="eastAsia"/>
          <w:color w:val="auto"/>
          <w:spacing w:val="0"/>
          <w:kern w:val="0"/>
          <w:sz w:val="32"/>
          <w:szCs w:val="32"/>
          <w:highlight w:val="none"/>
          <w:u w:val="none" w:color="auto"/>
          <w:lang w:val="en-US" w:eastAsia="zh-CN"/>
        </w:rPr>
        <w:t>严格落实意识形态工作责任制</w:t>
      </w:r>
      <w:r>
        <w:rPr>
          <w:rFonts w:hint="eastAsia"/>
          <w:strike w:val="0"/>
          <w:dstrike w:val="0"/>
          <w:color w:val="auto"/>
          <w:spacing w:val="0"/>
          <w:kern w:val="0"/>
          <w:sz w:val="32"/>
          <w:szCs w:val="32"/>
          <w:highlight w:val="none"/>
          <w:u w:val="none" w:color="auto"/>
          <w:lang w:val="en-US" w:eastAsia="zh-CN"/>
        </w:rPr>
        <w:t>，守牢守好意识形态阵地</w:t>
      </w:r>
      <w:r>
        <w:rPr>
          <w:rFonts w:hint="eastAsia"/>
          <w:color w:val="auto"/>
          <w:spacing w:val="0"/>
          <w:kern w:val="0"/>
          <w:sz w:val="32"/>
          <w:szCs w:val="32"/>
          <w:highlight w:val="none"/>
          <w:u w:val="none" w:color="auto"/>
          <w:lang w:val="en-US" w:eastAsia="zh-CN"/>
        </w:rPr>
        <w:t>。聚焦产业链供应链关键环节，强化对海工装备、化工新材料等产业的安全监管与风险应对能力。严格落实习惯过“紧日子”要求，守牢“三保”底线。</w:t>
      </w:r>
      <w:r>
        <w:rPr>
          <w:rFonts w:hint="eastAsia" w:cs="仿宋_GB2312"/>
          <w:color w:val="auto"/>
          <w:spacing w:val="0"/>
          <w:kern w:val="0"/>
          <w:sz w:val="32"/>
          <w:szCs w:val="32"/>
          <w:highlight w:val="none"/>
          <w:u w:val="none" w:color="auto"/>
          <w:lang w:val="en-US" w:eastAsia="zh-CN" w:bidi="ar-SA"/>
        </w:rPr>
        <w:t>严字当头</w:t>
      </w:r>
      <w:r>
        <w:rPr>
          <w:rFonts w:hint="eastAsia"/>
          <w:color w:val="auto"/>
          <w:spacing w:val="0"/>
          <w:kern w:val="0"/>
          <w:sz w:val="32"/>
          <w:szCs w:val="32"/>
          <w:highlight w:val="none"/>
          <w:u w:val="none" w:color="auto"/>
          <w:lang w:val="en-US" w:eastAsia="zh-CN"/>
        </w:rPr>
        <w:t>防范化解金融风险，健全金融机构运行监测机制，严禁违规新增隐性债务，坚决守住不发生系统性金融风险底线。</w:t>
      </w:r>
    </w:p>
    <w:p w14:paraId="794BB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ascii="黑体" w:hAnsi="黑体" w:eastAsia="黑体" w:cs="黑体"/>
          <w:color w:val="auto"/>
          <w:spacing w:val="0"/>
          <w:kern w:val="0"/>
          <w:sz w:val="32"/>
          <w:szCs w:val="32"/>
          <w:highlight w:val="none"/>
          <w:u w:val="none" w:color="auto"/>
          <w:lang w:val="en-US" w:eastAsia="zh-CN"/>
        </w:rPr>
        <w:t>全力维护社会大局和谐稳定。</w:t>
      </w:r>
      <w:r>
        <w:rPr>
          <w:rFonts w:hint="eastAsia"/>
          <w:color w:val="auto"/>
          <w:spacing w:val="0"/>
          <w:kern w:val="0"/>
          <w:sz w:val="32"/>
          <w:szCs w:val="32"/>
          <w:highlight w:val="none"/>
          <w:u w:val="none" w:color="auto"/>
          <w:lang w:val="en-US" w:eastAsia="zh-CN"/>
        </w:rPr>
        <w:t>坚持和发展新时代“枫桥经验”，</w:t>
      </w:r>
      <w:r>
        <w:rPr>
          <w:rFonts w:hint="eastAsia"/>
          <w:strike w:val="0"/>
          <w:dstrike w:val="0"/>
          <w:color w:val="auto"/>
          <w:spacing w:val="0"/>
          <w:kern w:val="0"/>
          <w:sz w:val="32"/>
          <w:szCs w:val="32"/>
          <w:highlight w:val="none"/>
          <w:u w:val="none" w:color="auto"/>
          <w:lang w:val="en-US" w:eastAsia="zh-CN"/>
        </w:rPr>
        <w:t>深入开展矛盾纠纷集中排查化解专项行动，</w:t>
      </w:r>
      <w:r>
        <w:rPr>
          <w:rFonts w:hint="eastAsia"/>
          <w:color w:val="auto"/>
          <w:spacing w:val="0"/>
          <w:kern w:val="0"/>
          <w:sz w:val="32"/>
          <w:szCs w:val="32"/>
          <w:highlight w:val="none"/>
          <w:u w:val="none" w:color="auto"/>
          <w:lang w:val="en-US" w:eastAsia="zh-CN"/>
        </w:rPr>
        <w:t>持续提升仙境新网格和综治中心规范化建设水平。扎实推进信访工作法治化，持续深化信访问题源头治理和积案化解</w:t>
      </w:r>
      <w:r>
        <w:rPr>
          <w:rFonts w:hint="eastAsia"/>
          <w:strike w:val="0"/>
          <w:dstrike w:val="0"/>
          <w:color w:val="auto"/>
          <w:spacing w:val="0"/>
          <w:kern w:val="0"/>
          <w:sz w:val="32"/>
          <w:szCs w:val="32"/>
          <w:highlight w:val="none"/>
          <w:u w:val="none" w:color="auto"/>
          <w:lang w:val="en-US" w:eastAsia="zh-CN"/>
        </w:rPr>
        <w:t>，及时解决群众合理诉求。</w:t>
      </w:r>
      <w:r>
        <w:rPr>
          <w:rFonts w:hint="eastAsia"/>
          <w:color w:val="auto"/>
          <w:spacing w:val="-6"/>
          <w:kern w:val="0"/>
          <w:sz w:val="32"/>
          <w:szCs w:val="32"/>
          <w:highlight w:val="none"/>
          <w:u w:val="none" w:color="auto"/>
          <w:lang w:val="en-US" w:eastAsia="zh-CN"/>
        </w:rPr>
        <w:t>全力抓好根治欠薪工作，依法保障劳动者和用人单位合法权益。强化社会治安整体防控体系和能力建设，常态化推进扫黑除恶斗争，依法严厉打击电信网络诈骗、毒品、侵害未成年人等突出违法犯罪。深化网络空间安全综合治理，</w:t>
      </w:r>
      <w:bookmarkStart w:id="3" w:name="OLE_LINK4"/>
      <w:r>
        <w:rPr>
          <w:rFonts w:hint="eastAsia"/>
          <w:color w:val="auto"/>
          <w:spacing w:val="-6"/>
          <w:kern w:val="0"/>
          <w:sz w:val="32"/>
          <w:szCs w:val="32"/>
          <w:highlight w:val="none"/>
          <w:u w:val="none" w:color="auto"/>
          <w:lang w:val="en-US" w:eastAsia="zh-CN"/>
        </w:rPr>
        <w:t>营造清朗健康的网络环境。</w:t>
      </w:r>
    </w:p>
    <w:bookmarkEnd w:id="3"/>
    <w:p w14:paraId="369E6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color w:val="auto"/>
          <w:spacing w:val="0"/>
          <w:kern w:val="0"/>
          <w:sz w:val="32"/>
          <w:szCs w:val="32"/>
          <w:highlight w:val="none"/>
          <w:u w:val="none" w:color="auto"/>
          <w:lang w:val="en-US" w:eastAsia="zh-CN"/>
        </w:rPr>
        <w:t>各位代表！新起点呼唤新担当，新征程需要新作为。我们将牢牢把握政府工作抓落实的基本定位，忠诚履行党和人民赋予的神圣职责。</w:t>
      </w:r>
      <w:r>
        <w:rPr>
          <w:rFonts w:hint="eastAsia" w:ascii="楷体_GB2312" w:hAnsi="楷体_GB2312" w:eastAsia="楷体_GB2312" w:cs="楷体_GB2312"/>
          <w:color w:val="auto"/>
          <w:spacing w:val="0"/>
          <w:kern w:val="0"/>
          <w:sz w:val="32"/>
          <w:szCs w:val="32"/>
          <w:highlight w:val="none"/>
          <w:u w:val="none" w:color="auto"/>
          <w:lang w:val="en-US" w:eastAsia="zh-CN"/>
        </w:rPr>
        <w:t>全区政府系统要锤炼绝对忠诚的政治品格。</w:t>
      </w:r>
      <w:r>
        <w:rPr>
          <w:rFonts w:hint="eastAsia"/>
          <w:color w:val="auto"/>
          <w:spacing w:val="0"/>
          <w:kern w:val="0"/>
          <w:sz w:val="32"/>
          <w:szCs w:val="32"/>
          <w:highlight w:val="none"/>
          <w:u w:val="none" w:color="auto"/>
          <w:lang w:val="en-US" w:eastAsia="zh-CN"/>
        </w:rPr>
        <w:t>坚持不懈用习近平新时代中国特色社会主义思想凝心铸魂，</w:t>
      </w:r>
      <w:r>
        <w:rPr>
          <w:rFonts w:hint="eastAsia"/>
          <w:strike w:val="0"/>
          <w:dstrike w:val="0"/>
          <w:color w:val="auto"/>
          <w:spacing w:val="0"/>
          <w:kern w:val="0"/>
          <w:sz w:val="32"/>
          <w:szCs w:val="32"/>
          <w:highlight w:val="none"/>
          <w:u w:val="none" w:color="auto"/>
          <w:lang w:val="en-US" w:eastAsia="zh-CN"/>
        </w:rPr>
        <w:t>胸怀“国之大者”，严守政治纪律和政治规矩，</w:t>
      </w:r>
      <w:r>
        <w:rPr>
          <w:rFonts w:hint="eastAsia"/>
          <w:color w:val="auto"/>
          <w:spacing w:val="0"/>
          <w:kern w:val="0"/>
          <w:sz w:val="32"/>
          <w:szCs w:val="32"/>
          <w:highlight w:val="none"/>
          <w:u w:val="none" w:color="auto"/>
          <w:lang w:val="en-US" w:eastAsia="zh-CN"/>
        </w:rPr>
        <w:t>始终坚持党对政府工作的全面领导，</w:t>
      </w:r>
      <w:r>
        <w:rPr>
          <w:rFonts w:hint="eastAsia"/>
          <w:strike w:val="0"/>
          <w:dstrike w:val="0"/>
          <w:color w:val="auto"/>
          <w:spacing w:val="0"/>
          <w:kern w:val="0"/>
          <w:sz w:val="32"/>
          <w:szCs w:val="32"/>
          <w:highlight w:val="none"/>
          <w:u w:val="none" w:color="auto"/>
          <w:lang w:val="en-US" w:eastAsia="zh-CN"/>
        </w:rPr>
        <w:t>全面贯彻落实中央、省、市和区委各项决策部署，</w:t>
      </w:r>
      <w:r>
        <w:rPr>
          <w:rFonts w:hint="eastAsia"/>
          <w:color w:val="auto"/>
          <w:spacing w:val="0"/>
          <w:kern w:val="0"/>
          <w:sz w:val="32"/>
          <w:szCs w:val="32"/>
          <w:highlight w:val="none"/>
          <w:u w:val="none" w:color="auto"/>
          <w:lang w:val="en-US" w:eastAsia="zh-CN"/>
        </w:rPr>
        <w:t>以实际行动坚定拥护“两个确立”、坚决做到“两个维护”。</w:t>
      </w:r>
      <w:r>
        <w:rPr>
          <w:rFonts w:hint="eastAsia" w:ascii="楷体_GB2312" w:hAnsi="楷体_GB2312" w:eastAsia="楷体_GB2312" w:cs="楷体_GB2312"/>
          <w:color w:val="auto"/>
          <w:spacing w:val="0"/>
          <w:kern w:val="0"/>
          <w:sz w:val="32"/>
          <w:szCs w:val="32"/>
          <w:highlight w:val="none"/>
          <w:u w:val="none" w:color="auto"/>
          <w:lang w:val="en-US" w:eastAsia="zh-CN"/>
        </w:rPr>
        <w:t>要恪守依法行政的履职准则。</w:t>
      </w:r>
      <w:r>
        <w:rPr>
          <w:rFonts w:hint="eastAsia"/>
          <w:color w:val="auto"/>
          <w:spacing w:val="0"/>
          <w:kern w:val="0"/>
          <w:sz w:val="32"/>
          <w:szCs w:val="32"/>
          <w:highlight w:val="none"/>
          <w:u w:val="none" w:color="auto"/>
          <w:lang w:val="en-US" w:eastAsia="zh-CN"/>
        </w:rPr>
        <w:t>深入学习贯彻习近平法治思想，扎实推进法治政府建设</w:t>
      </w:r>
      <w:r>
        <w:rPr>
          <w:rFonts w:hint="eastAsia"/>
          <w:strike w:val="0"/>
          <w:dstrike w:val="0"/>
          <w:color w:val="auto"/>
          <w:spacing w:val="0"/>
          <w:kern w:val="0"/>
          <w:sz w:val="32"/>
          <w:szCs w:val="32"/>
          <w:highlight w:val="none"/>
          <w:u w:val="none" w:color="auto"/>
          <w:lang w:val="en-US" w:eastAsia="zh-CN"/>
        </w:rPr>
        <w:t>，严格执行重大行政决策程序。自觉接受人大、政协监督，主动接受社会各界监督，更高质量推进政务公开，</w:t>
      </w:r>
      <w:r>
        <w:rPr>
          <w:rFonts w:hint="eastAsia"/>
          <w:color w:val="auto"/>
          <w:spacing w:val="0"/>
          <w:kern w:val="0"/>
          <w:sz w:val="32"/>
          <w:szCs w:val="32"/>
          <w:highlight w:val="none"/>
          <w:u w:val="none" w:color="auto"/>
          <w:lang w:val="en-US" w:eastAsia="zh-CN"/>
        </w:rPr>
        <w:t>让政府工作始终在阳光下运行。</w:t>
      </w:r>
      <w:r>
        <w:rPr>
          <w:rFonts w:hint="eastAsia" w:ascii="楷体_GB2312" w:hAnsi="楷体_GB2312" w:eastAsia="楷体_GB2312" w:cs="楷体_GB2312"/>
          <w:color w:val="auto"/>
          <w:spacing w:val="0"/>
          <w:kern w:val="0"/>
          <w:sz w:val="32"/>
          <w:szCs w:val="32"/>
          <w:highlight w:val="none"/>
          <w:u w:val="none" w:color="auto"/>
          <w:lang w:val="en-US" w:eastAsia="zh-CN"/>
        </w:rPr>
        <w:t>要弘扬务实高效的实干作风。</w:t>
      </w:r>
      <w:r>
        <w:rPr>
          <w:rFonts w:hint="eastAsia"/>
          <w:color w:val="auto"/>
          <w:spacing w:val="0"/>
          <w:kern w:val="0"/>
          <w:sz w:val="32"/>
          <w:szCs w:val="32"/>
          <w:highlight w:val="none"/>
          <w:u w:val="none" w:color="auto"/>
          <w:lang w:val="en-US" w:eastAsia="zh-CN"/>
        </w:rPr>
        <w:t>牢固树立和践行正确政绩观，</w:t>
      </w:r>
      <w:r>
        <w:rPr>
          <w:rFonts w:hint="eastAsia"/>
          <w:strike w:val="0"/>
          <w:dstrike w:val="0"/>
          <w:color w:val="auto"/>
          <w:spacing w:val="0"/>
          <w:kern w:val="0"/>
          <w:sz w:val="32"/>
          <w:szCs w:val="32"/>
          <w:highlight w:val="none"/>
          <w:u w:val="none" w:color="auto"/>
          <w:lang w:val="en-US" w:eastAsia="zh-CN"/>
        </w:rPr>
        <w:t>认真落实“四下基层”工作制度，始终从群众立场出发想问题、作决策、办事情。</w:t>
      </w:r>
      <w:r>
        <w:rPr>
          <w:rFonts w:hint="eastAsia"/>
          <w:color w:val="auto"/>
          <w:spacing w:val="0"/>
          <w:kern w:val="0"/>
          <w:sz w:val="32"/>
          <w:szCs w:val="32"/>
          <w:highlight w:val="none"/>
          <w:u w:val="none" w:color="auto"/>
          <w:lang w:val="en-US" w:eastAsia="zh-CN"/>
        </w:rPr>
        <w:t>坚持实字为要、干字当先，</w:t>
      </w:r>
      <w:r>
        <w:rPr>
          <w:rFonts w:hint="eastAsia"/>
          <w:strike w:val="0"/>
          <w:dstrike w:val="0"/>
          <w:color w:val="auto"/>
          <w:spacing w:val="0"/>
          <w:kern w:val="0"/>
          <w:sz w:val="32"/>
          <w:szCs w:val="32"/>
          <w:highlight w:val="none"/>
          <w:u w:val="none" w:color="auto"/>
          <w:lang w:val="en-US" w:eastAsia="zh-CN"/>
        </w:rPr>
        <w:t>强化清单式管理、项目化推进、责任制落实，</w:t>
      </w:r>
      <w:r>
        <w:rPr>
          <w:rFonts w:hint="eastAsia"/>
          <w:color w:val="auto"/>
          <w:spacing w:val="0"/>
          <w:kern w:val="0"/>
          <w:sz w:val="32"/>
          <w:szCs w:val="32"/>
          <w:highlight w:val="none"/>
          <w:u w:val="none" w:color="auto"/>
          <w:lang w:val="en-US" w:eastAsia="zh-CN"/>
        </w:rPr>
        <w:t>确保各项工作抓一件成一件。</w:t>
      </w:r>
      <w:r>
        <w:rPr>
          <w:rFonts w:hint="eastAsia" w:ascii="楷体_GB2312" w:hAnsi="楷体_GB2312" w:eastAsia="楷体_GB2312" w:cs="楷体_GB2312"/>
          <w:color w:val="auto"/>
          <w:spacing w:val="0"/>
          <w:kern w:val="0"/>
          <w:sz w:val="32"/>
          <w:szCs w:val="32"/>
          <w:highlight w:val="none"/>
          <w:u w:val="none" w:color="auto"/>
          <w:lang w:val="en-US" w:eastAsia="zh-CN"/>
        </w:rPr>
        <w:t>要永葆清正廉洁的公仆本色。</w:t>
      </w:r>
      <w:r>
        <w:rPr>
          <w:rFonts w:hint="eastAsia"/>
          <w:color w:val="auto"/>
          <w:spacing w:val="0"/>
          <w:kern w:val="0"/>
          <w:sz w:val="32"/>
          <w:szCs w:val="32"/>
          <w:highlight w:val="none"/>
          <w:u w:val="none" w:color="auto"/>
          <w:lang w:val="en-US" w:eastAsia="zh-CN"/>
        </w:rPr>
        <w:t>严格履行全面从严治党政治责任，扎实推进政府系统党风廉政建设。锲而不舍落实中央八项规定精神，</w:t>
      </w:r>
      <w:r>
        <w:rPr>
          <w:rFonts w:hint="eastAsia"/>
          <w:strike w:val="0"/>
          <w:dstrike w:val="0"/>
          <w:color w:val="auto"/>
          <w:spacing w:val="0"/>
          <w:kern w:val="0"/>
          <w:sz w:val="32"/>
          <w:szCs w:val="32"/>
          <w:highlight w:val="none"/>
          <w:u w:val="none" w:color="auto"/>
          <w:lang w:val="en-US" w:eastAsia="zh-CN"/>
        </w:rPr>
        <w:t>持之以恒纠治“四风”。持续深化群众身边不正之风和腐败问题集中整治，深入开展整治形式主义为基层减负，</w:t>
      </w:r>
      <w:r>
        <w:rPr>
          <w:rFonts w:hint="eastAsia"/>
          <w:color w:val="auto"/>
          <w:spacing w:val="0"/>
          <w:kern w:val="0"/>
          <w:sz w:val="32"/>
          <w:szCs w:val="32"/>
          <w:highlight w:val="none"/>
          <w:u w:val="none" w:color="auto"/>
          <w:lang w:val="en-US" w:eastAsia="zh-CN"/>
        </w:rPr>
        <w:t>不断巩固风清气正的良好政治生态。</w:t>
      </w:r>
    </w:p>
    <w:p w14:paraId="5E041D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color w:val="auto"/>
          <w:spacing w:val="0"/>
          <w:kern w:val="0"/>
          <w:sz w:val="32"/>
          <w:szCs w:val="32"/>
          <w:highlight w:val="none"/>
          <w:u w:val="none" w:color="auto"/>
          <w:lang w:val="en-US" w:eastAsia="zh-CN"/>
        </w:rPr>
      </w:pPr>
      <w:r>
        <w:rPr>
          <w:rFonts w:hint="eastAsia"/>
          <w:color w:val="auto"/>
          <w:spacing w:val="0"/>
          <w:kern w:val="0"/>
          <w:sz w:val="32"/>
          <w:szCs w:val="32"/>
          <w:highlight w:val="none"/>
          <w:u w:val="none" w:color="auto"/>
          <w:lang w:val="en-US" w:eastAsia="zh-CN"/>
        </w:rPr>
        <w:t>各位代表！跨越发展厚望如山，奋勇争先使命在肩。让我们更加紧密地团结在以习近平同志为核心的党中央周围，在区委的坚强领导下，拿出跃马扬鞭的勇气，激发万马奔腾的活力，保持马不停蹄的干劲，一起为梦想努力、为幸福打拼，为加快建设“新时代的人间仙境”不懈奋斗！</w:t>
      </w:r>
    </w:p>
    <w:sectPr>
      <w:footerReference r:id="rId5" w:type="default"/>
      <w:pgSz w:w="11907" w:h="16840"/>
      <w:pgMar w:top="1928" w:right="1531" w:bottom="1871" w:left="1531" w:header="851" w:footer="964" w:gutter="0"/>
      <w:pgNumType w:fmt="decimal"/>
      <w:cols w:space="720" w:num="1"/>
      <w:rtlGutter w:val="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3C49">
    <w:pPr>
      <w:pStyle w:val="13"/>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804545" cy="361315"/>
              <wp:effectExtent l="0" t="0" r="0" b="0"/>
              <wp:wrapNone/>
              <wp:docPr id="2" name="文本框 1"/>
              <wp:cNvGraphicFramePr/>
              <a:graphic xmlns:a="http://schemas.openxmlformats.org/drawingml/2006/main">
                <a:graphicData uri="http://schemas.microsoft.com/office/word/2010/wordprocessingShape">
                  <wps:wsp>
                    <wps:cNvSpPr/>
                    <wps:spPr>
                      <a:xfrm>
                        <a:off x="0" y="0"/>
                        <a:ext cx="804545" cy="361315"/>
                      </a:xfrm>
                      <a:prstGeom prst="rect">
                        <a:avLst/>
                      </a:prstGeom>
                      <a:noFill/>
                      <a:ln w="6350" cap="flat" cmpd="sng">
                        <a:noFill/>
                        <a:prstDash val="solid"/>
                        <a:round/>
                      </a:ln>
                      <a:effectLst/>
                    </wps:spPr>
                    <wps:txbx>
                      <w:txbxContent>
                        <w:p w14:paraId="220B0D45">
                          <w:pPr>
                            <w:pStyle w:val="13"/>
                            <w:ind w:left="0" w:firstLine="0" w:firstLineChars="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upright="0">
                      <a:noAutofit/>
                    </wps:bodyPr>
                  </wps:wsp>
                </a:graphicData>
              </a:graphic>
            </wp:anchor>
          </w:drawing>
        </mc:Choice>
        <mc:Fallback>
          <w:pict>
            <v:rect id="文本框 1" o:spid="_x0000_s1026" o:spt="1" style="position:absolute;left:0pt;margin-top:0pt;height:28.45pt;width:63.35pt;mso-position-horizontal:outside;mso-position-horizontal-relative:margin;z-index:251659264;mso-width-relative:page;mso-height-relative:page;" filled="f" stroked="f" coordsize="21600,21600" o:gfxdata="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UI8W1AAAAAQBAAAPAAAAAAAAAAEAIAAAACIAAABk&#10;cnMvZG93bnJldi54bWxQSwECFAAUAAAACACHTuJAn9FYrQoCAAAEBAAADgAAAAAAAAABACAAAAAj&#10;AQAAZHJzL2Uyb0RvYy54bWxQSwUGAAAAAAYABgBZAQAAnwUAAAAA&#10;">
              <v:fill on="f" focussize="0,0"/>
              <v:stroke on="f" weight="0.5pt" joinstyle="round"/>
              <v:imagedata o:title=""/>
              <o:lock v:ext="edit" aspectratio="f"/>
              <v:textbox inset="0mm,0mm,0mm,0mm">
                <w:txbxContent>
                  <w:p w14:paraId="220B0D45">
                    <w:pPr>
                      <w:pStyle w:val="13"/>
                      <w:ind w:left="0" w:firstLine="0" w:firstLineChars="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hyphenationZone w:val="360"/>
  <w:drawingGridHorizontalSpacing w:val="1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ZmQ1M2Y3MzEzNDdhMjU0NzY3OWNlNzA0ZmU2MjkifQ=="/>
  </w:docVars>
  <w:rsids>
    <w:rsidRoot w:val="00000000"/>
    <w:rsid w:val="00035307"/>
    <w:rsid w:val="000A3B2E"/>
    <w:rsid w:val="0018099E"/>
    <w:rsid w:val="00273254"/>
    <w:rsid w:val="00292BAB"/>
    <w:rsid w:val="00293F12"/>
    <w:rsid w:val="00427281"/>
    <w:rsid w:val="004D6899"/>
    <w:rsid w:val="005319D6"/>
    <w:rsid w:val="006E4A62"/>
    <w:rsid w:val="008322BB"/>
    <w:rsid w:val="009444C8"/>
    <w:rsid w:val="00C11035"/>
    <w:rsid w:val="00D074CA"/>
    <w:rsid w:val="00E13486"/>
    <w:rsid w:val="00F705B3"/>
    <w:rsid w:val="013B2B96"/>
    <w:rsid w:val="013D4B60"/>
    <w:rsid w:val="0144009C"/>
    <w:rsid w:val="01536131"/>
    <w:rsid w:val="016540D6"/>
    <w:rsid w:val="017B64CE"/>
    <w:rsid w:val="01B72E2F"/>
    <w:rsid w:val="01C7267B"/>
    <w:rsid w:val="01CE6809"/>
    <w:rsid w:val="01E925F2"/>
    <w:rsid w:val="01F80A87"/>
    <w:rsid w:val="01FD42EF"/>
    <w:rsid w:val="02011047"/>
    <w:rsid w:val="020411DA"/>
    <w:rsid w:val="020B07BA"/>
    <w:rsid w:val="02171459"/>
    <w:rsid w:val="023870D5"/>
    <w:rsid w:val="024B3BB5"/>
    <w:rsid w:val="02662FE2"/>
    <w:rsid w:val="02852198"/>
    <w:rsid w:val="028B47FE"/>
    <w:rsid w:val="029310AC"/>
    <w:rsid w:val="029C1412"/>
    <w:rsid w:val="029D518A"/>
    <w:rsid w:val="029F7154"/>
    <w:rsid w:val="02BF2193"/>
    <w:rsid w:val="02CD1F13"/>
    <w:rsid w:val="02D7069C"/>
    <w:rsid w:val="02FA438B"/>
    <w:rsid w:val="030B47EA"/>
    <w:rsid w:val="03116E51"/>
    <w:rsid w:val="031E62CB"/>
    <w:rsid w:val="03237D85"/>
    <w:rsid w:val="035937A7"/>
    <w:rsid w:val="035B12CD"/>
    <w:rsid w:val="035F1C90"/>
    <w:rsid w:val="036A7762"/>
    <w:rsid w:val="036F4D79"/>
    <w:rsid w:val="038500F8"/>
    <w:rsid w:val="03913766"/>
    <w:rsid w:val="039317F8"/>
    <w:rsid w:val="03965C3F"/>
    <w:rsid w:val="039F08D4"/>
    <w:rsid w:val="03B66504"/>
    <w:rsid w:val="03CC3F79"/>
    <w:rsid w:val="03DF1EFE"/>
    <w:rsid w:val="03E5503B"/>
    <w:rsid w:val="03EE0A61"/>
    <w:rsid w:val="04115E30"/>
    <w:rsid w:val="04163918"/>
    <w:rsid w:val="042016BA"/>
    <w:rsid w:val="04334E95"/>
    <w:rsid w:val="0442248D"/>
    <w:rsid w:val="044B1342"/>
    <w:rsid w:val="044F0706"/>
    <w:rsid w:val="04583A5F"/>
    <w:rsid w:val="045D79B7"/>
    <w:rsid w:val="045F0CEE"/>
    <w:rsid w:val="047563BF"/>
    <w:rsid w:val="048E7480"/>
    <w:rsid w:val="04A922BF"/>
    <w:rsid w:val="04AB502E"/>
    <w:rsid w:val="04B45241"/>
    <w:rsid w:val="04BC223F"/>
    <w:rsid w:val="04EB48D3"/>
    <w:rsid w:val="05003213"/>
    <w:rsid w:val="0508107A"/>
    <w:rsid w:val="050D4849"/>
    <w:rsid w:val="055A55B4"/>
    <w:rsid w:val="05713F7D"/>
    <w:rsid w:val="05791EDF"/>
    <w:rsid w:val="058D14E6"/>
    <w:rsid w:val="05900FD6"/>
    <w:rsid w:val="059A3D2C"/>
    <w:rsid w:val="05A40522"/>
    <w:rsid w:val="05AF5900"/>
    <w:rsid w:val="05CF7D50"/>
    <w:rsid w:val="05D13AC9"/>
    <w:rsid w:val="05D76C05"/>
    <w:rsid w:val="05E732EC"/>
    <w:rsid w:val="05ED6429"/>
    <w:rsid w:val="05F87802"/>
    <w:rsid w:val="05FE0636"/>
    <w:rsid w:val="060317A8"/>
    <w:rsid w:val="060F2843"/>
    <w:rsid w:val="06190FCC"/>
    <w:rsid w:val="063127B9"/>
    <w:rsid w:val="06336531"/>
    <w:rsid w:val="06514C09"/>
    <w:rsid w:val="065344DE"/>
    <w:rsid w:val="066761DB"/>
    <w:rsid w:val="06732DD2"/>
    <w:rsid w:val="06952D48"/>
    <w:rsid w:val="06A66D03"/>
    <w:rsid w:val="06BC6527"/>
    <w:rsid w:val="06C5639B"/>
    <w:rsid w:val="06DE46EF"/>
    <w:rsid w:val="06E20324"/>
    <w:rsid w:val="06E96BF0"/>
    <w:rsid w:val="06F2019A"/>
    <w:rsid w:val="0708351A"/>
    <w:rsid w:val="07100621"/>
    <w:rsid w:val="07127489"/>
    <w:rsid w:val="0717375D"/>
    <w:rsid w:val="0721424F"/>
    <w:rsid w:val="07462294"/>
    <w:rsid w:val="07626FC2"/>
    <w:rsid w:val="076A76AF"/>
    <w:rsid w:val="07797F74"/>
    <w:rsid w:val="0792552E"/>
    <w:rsid w:val="079A613C"/>
    <w:rsid w:val="07A108E7"/>
    <w:rsid w:val="07B123CE"/>
    <w:rsid w:val="07BC2556"/>
    <w:rsid w:val="080A5070"/>
    <w:rsid w:val="080C0DE8"/>
    <w:rsid w:val="080F6404"/>
    <w:rsid w:val="081E51D8"/>
    <w:rsid w:val="08234384"/>
    <w:rsid w:val="08234F3D"/>
    <w:rsid w:val="08386081"/>
    <w:rsid w:val="08422A5C"/>
    <w:rsid w:val="084D31AF"/>
    <w:rsid w:val="08510EF1"/>
    <w:rsid w:val="08602EE2"/>
    <w:rsid w:val="0865499C"/>
    <w:rsid w:val="086C6A36"/>
    <w:rsid w:val="088E7A4F"/>
    <w:rsid w:val="08A8400F"/>
    <w:rsid w:val="08AC6884"/>
    <w:rsid w:val="08AE3A03"/>
    <w:rsid w:val="08B35053"/>
    <w:rsid w:val="08B60722"/>
    <w:rsid w:val="08CA47FF"/>
    <w:rsid w:val="08CE2541"/>
    <w:rsid w:val="08CF2DAF"/>
    <w:rsid w:val="08D37B58"/>
    <w:rsid w:val="08E006AB"/>
    <w:rsid w:val="08F16230"/>
    <w:rsid w:val="08FE7DA9"/>
    <w:rsid w:val="09137F54"/>
    <w:rsid w:val="091F0FEF"/>
    <w:rsid w:val="09414AC1"/>
    <w:rsid w:val="09420839"/>
    <w:rsid w:val="09436A8B"/>
    <w:rsid w:val="094D790A"/>
    <w:rsid w:val="09540C99"/>
    <w:rsid w:val="09630EDC"/>
    <w:rsid w:val="0992334F"/>
    <w:rsid w:val="09B01A72"/>
    <w:rsid w:val="09B41737"/>
    <w:rsid w:val="09B90AFC"/>
    <w:rsid w:val="09C63218"/>
    <w:rsid w:val="09CB082F"/>
    <w:rsid w:val="09D43B87"/>
    <w:rsid w:val="09E55D95"/>
    <w:rsid w:val="0A206DCD"/>
    <w:rsid w:val="0A3D797F"/>
    <w:rsid w:val="0A3E54A5"/>
    <w:rsid w:val="0A4A5BF8"/>
    <w:rsid w:val="0A4F320E"/>
    <w:rsid w:val="0A544CC8"/>
    <w:rsid w:val="0A5E16A3"/>
    <w:rsid w:val="0A636CB9"/>
    <w:rsid w:val="0A6A7BD6"/>
    <w:rsid w:val="0AA7129C"/>
    <w:rsid w:val="0AB37C41"/>
    <w:rsid w:val="0AB46948"/>
    <w:rsid w:val="0AB85257"/>
    <w:rsid w:val="0ABA0FCF"/>
    <w:rsid w:val="0AD100C7"/>
    <w:rsid w:val="0B04049C"/>
    <w:rsid w:val="0B097861"/>
    <w:rsid w:val="0B186F16"/>
    <w:rsid w:val="0B1B7C2D"/>
    <w:rsid w:val="0B1C7270"/>
    <w:rsid w:val="0B402D19"/>
    <w:rsid w:val="0B467BD2"/>
    <w:rsid w:val="0B4765DB"/>
    <w:rsid w:val="0B50723E"/>
    <w:rsid w:val="0B5E72DC"/>
    <w:rsid w:val="0B61769D"/>
    <w:rsid w:val="0B67130C"/>
    <w:rsid w:val="0B7218AA"/>
    <w:rsid w:val="0BA17A99"/>
    <w:rsid w:val="0BA80E28"/>
    <w:rsid w:val="0BC72B76"/>
    <w:rsid w:val="0BDA7435"/>
    <w:rsid w:val="0BE61950"/>
    <w:rsid w:val="0C006EB6"/>
    <w:rsid w:val="0C210BDA"/>
    <w:rsid w:val="0C236700"/>
    <w:rsid w:val="0C5D60B6"/>
    <w:rsid w:val="0C5F57BE"/>
    <w:rsid w:val="0C660B9A"/>
    <w:rsid w:val="0C7927C4"/>
    <w:rsid w:val="0C851169"/>
    <w:rsid w:val="0C917B0E"/>
    <w:rsid w:val="0CA76848"/>
    <w:rsid w:val="0CB63A18"/>
    <w:rsid w:val="0CCD5B48"/>
    <w:rsid w:val="0CEC1613"/>
    <w:rsid w:val="0CEC2F96"/>
    <w:rsid w:val="0CF462EF"/>
    <w:rsid w:val="0D140E7B"/>
    <w:rsid w:val="0D1644B7"/>
    <w:rsid w:val="0D214FCE"/>
    <w:rsid w:val="0D4C1C87"/>
    <w:rsid w:val="0D613984"/>
    <w:rsid w:val="0D636733"/>
    <w:rsid w:val="0D6716C4"/>
    <w:rsid w:val="0D676AC1"/>
    <w:rsid w:val="0D94093E"/>
    <w:rsid w:val="0DBA7538"/>
    <w:rsid w:val="0DBF68FD"/>
    <w:rsid w:val="0DDA1988"/>
    <w:rsid w:val="0DF947D1"/>
    <w:rsid w:val="0E0462C7"/>
    <w:rsid w:val="0E255BC6"/>
    <w:rsid w:val="0E460DCC"/>
    <w:rsid w:val="0E470646"/>
    <w:rsid w:val="0E4B63E2"/>
    <w:rsid w:val="0E4C4CEB"/>
    <w:rsid w:val="0E583992"/>
    <w:rsid w:val="0E9234DC"/>
    <w:rsid w:val="0E94286B"/>
    <w:rsid w:val="0E9B2EC6"/>
    <w:rsid w:val="0EC806DB"/>
    <w:rsid w:val="0ED24AF6"/>
    <w:rsid w:val="0EF95E3E"/>
    <w:rsid w:val="0F011164"/>
    <w:rsid w:val="0F0A1DF9"/>
    <w:rsid w:val="0F0F7410"/>
    <w:rsid w:val="0F1C3121"/>
    <w:rsid w:val="0F24422C"/>
    <w:rsid w:val="0F2509E1"/>
    <w:rsid w:val="0F423341"/>
    <w:rsid w:val="0F44530B"/>
    <w:rsid w:val="0F46331D"/>
    <w:rsid w:val="0F814A01"/>
    <w:rsid w:val="0F8751F8"/>
    <w:rsid w:val="0F9D4A1B"/>
    <w:rsid w:val="0FAE7695"/>
    <w:rsid w:val="0FC337A3"/>
    <w:rsid w:val="0FE4089C"/>
    <w:rsid w:val="0FF705D0"/>
    <w:rsid w:val="10014FAA"/>
    <w:rsid w:val="10172A20"/>
    <w:rsid w:val="10345524"/>
    <w:rsid w:val="10375CD4"/>
    <w:rsid w:val="10433815"/>
    <w:rsid w:val="104A0027"/>
    <w:rsid w:val="10604213"/>
    <w:rsid w:val="10A61878"/>
    <w:rsid w:val="10B26681"/>
    <w:rsid w:val="10B67025"/>
    <w:rsid w:val="10CF6E57"/>
    <w:rsid w:val="10F1501F"/>
    <w:rsid w:val="10F92125"/>
    <w:rsid w:val="11020FDA"/>
    <w:rsid w:val="110A4333"/>
    <w:rsid w:val="110C3C07"/>
    <w:rsid w:val="111216DE"/>
    <w:rsid w:val="11142E53"/>
    <w:rsid w:val="1122167C"/>
    <w:rsid w:val="112F5B47"/>
    <w:rsid w:val="114E06C3"/>
    <w:rsid w:val="11677C2F"/>
    <w:rsid w:val="117D2D56"/>
    <w:rsid w:val="11A14261"/>
    <w:rsid w:val="11A6405B"/>
    <w:rsid w:val="11AB600B"/>
    <w:rsid w:val="11E747D3"/>
    <w:rsid w:val="12103BCB"/>
    <w:rsid w:val="121C60CC"/>
    <w:rsid w:val="122F29E3"/>
    <w:rsid w:val="123553DF"/>
    <w:rsid w:val="12386C7D"/>
    <w:rsid w:val="123F625E"/>
    <w:rsid w:val="125C471A"/>
    <w:rsid w:val="1269169E"/>
    <w:rsid w:val="127C300E"/>
    <w:rsid w:val="12826B40"/>
    <w:rsid w:val="128C1F69"/>
    <w:rsid w:val="129E4D32"/>
    <w:rsid w:val="12A27FBA"/>
    <w:rsid w:val="12B00781"/>
    <w:rsid w:val="12BA7692"/>
    <w:rsid w:val="12E53A71"/>
    <w:rsid w:val="12FC5EFD"/>
    <w:rsid w:val="13043687"/>
    <w:rsid w:val="130D010A"/>
    <w:rsid w:val="132711CC"/>
    <w:rsid w:val="1328154C"/>
    <w:rsid w:val="13623FB2"/>
    <w:rsid w:val="137522C0"/>
    <w:rsid w:val="138A3509"/>
    <w:rsid w:val="13984EAF"/>
    <w:rsid w:val="13B16CE7"/>
    <w:rsid w:val="13BA1003"/>
    <w:rsid w:val="13C133CE"/>
    <w:rsid w:val="13D45C26"/>
    <w:rsid w:val="13EA7547"/>
    <w:rsid w:val="13F15336"/>
    <w:rsid w:val="141D437D"/>
    <w:rsid w:val="14213E6D"/>
    <w:rsid w:val="14304D6C"/>
    <w:rsid w:val="14403DD6"/>
    <w:rsid w:val="144422DA"/>
    <w:rsid w:val="14593CD7"/>
    <w:rsid w:val="145B7E54"/>
    <w:rsid w:val="14730332"/>
    <w:rsid w:val="149363ED"/>
    <w:rsid w:val="149D101A"/>
    <w:rsid w:val="149E726C"/>
    <w:rsid w:val="14B95E54"/>
    <w:rsid w:val="14CB5B87"/>
    <w:rsid w:val="14D64C58"/>
    <w:rsid w:val="14E17448"/>
    <w:rsid w:val="14F07B40"/>
    <w:rsid w:val="14FC0436"/>
    <w:rsid w:val="150C0679"/>
    <w:rsid w:val="15113EE2"/>
    <w:rsid w:val="154871D8"/>
    <w:rsid w:val="15597F0E"/>
    <w:rsid w:val="156F29B6"/>
    <w:rsid w:val="15704FCE"/>
    <w:rsid w:val="157F52EF"/>
    <w:rsid w:val="15842905"/>
    <w:rsid w:val="158A445A"/>
    <w:rsid w:val="15C251DC"/>
    <w:rsid w:val="15D33AB6"/>
    <w:rsid w:val="15D373E9"/>
    <w:rsid w:val="15F35395"/>
    <w:rsid w:val="15F5735F"/>
    <w:rsid w:val="162B10C8"/>
    <w:rsid w:val="16361726"/>
    <w:rsid w:val="16467BBB"/>
    <w:rsid w:val="16492A93"/>
    <w:rsid w:val="164F43EB"/>
    <w:rsid w:val="165A3666"/>
    <w:rsid w:val="165F0C7D"/>
    <w:rsid w:val="166319AB"/>
    <w:rsid w:val="1666025D"/>
    <w:rsid w:val="16784F75"/>
    <w:rsid w:val="169A53D8"/>
    <w:rsid w:val="169A7F07"/>
    <w:rsid w:val="16B45696"/>
    <w:rsid w:val="16BC3FE0"/>
    <w:rsid w:val="16BC7E7D"/>
    <w:rsid w:val="16D72F09"/>
    <w:rsid w:val="16E11692"/>
    <w:rsid w:val="16E96798"/>
    <w:rsid w:val="16EA10E2"/>
    <w:rsid w:val="16EE47DF"/>
    <w:rsid w:val="16EF2001"/>
    <w:rsid w:val="17045380"/>
    <w:rsid w:val="17215F32"/>
    <w:rsid w:val="1740285C"/>
    <w:rsid w:val="174D4F79"/>
    <w:rsid w:val="174E3DED"/>
    <w:rsid w:val="176B4EBE"/>
    <w:rsid w:val="17780248"/>
    <w:rsid w:val="177B1AE6"/>
    <w:rsid w:val="177C2B6D"/>
    <w:rsid w:val="177E4C46"/>
    <w:rsid w:val="17B211DA"/>
    <w:rsid w:val="17C74BEE"/>
    <w:rsid w:val="17C944DF"/>
    <w:rsid w:val="18117D55"/>
    <w:rsid w:val="18280D21"/>
    <w:rsid w:val="18430832"/>
    <w:rsid w:val="185D5E46"/>
    <w:rsid w:val="186B2DD3"/>
    <w:rsid w:val="18924B4D"/>
    <w:rsid w:val="189A41EE"/>
    <w:rsid w:val="18A40ED9"/>
    <w:rsid w:val="18A62B93"/>
    <w:rsid w:val="18C272A1"/>
    <w:rsid w:val="18D05E62"/>
    <w:rsid w:val="18D2275B"/>
    <w:rsid w:val="18E436BB"/>
    <w:rsid w:val="18F51424"/>
    <w:rsid w:val="19194FF2"/>
    <w:rsid w:val="194A5C14"/>
    <w:rsid w:val="194E0EE6"/>
    <w:rsid w:val="19654B16"/>
    <w:rsid w:val="196A0064"/>
    <w:rsid w:val="197E42A9"/>
    <w:rsid w:val="1982006E"/>
    <w:rsid w:val="198B4D83"/>
    <w:rsid w:val="198F3627"/>
    <w:rsid w:val="19A75D68"/>
    <w:rsid w:val="19C84D8B"/>
    <w:rsid w:val="19D11E91"/>
    <w:rsid w:val="19F3005A"/>
    <w:rsid w:val="1A167397"/>
    <w:rsid w:val="1A1F2BFD"/>
    <w:rsid w:val="1A28563A"/>
    <w:rsid w:val="1A2E1092"/>
    <w:rsid w:val="1A3B37AF"/>
    <w:rsid w:val="1A5403CD"/>
    <w:rsid w:val="1A732F49"/>
    <w:rsid w:val="1A8C7B66"/>
    <w:rsid w:val="1A952EBF"/>
    <w:rsid w:val="1AA66E7A"/>
    <w:rsid w:val="1AA7757A"/>
    <w:rsid w:val="1ABA46D4"/>
    <w:rsid w:val="1AD02149"/>
    <w:rsid w:val="1AD35795"/>
    <w:rsid w:val="1AE41750"/>
    <w:rsid w:val="1B040045"/>
    <w:rsid w:val="1B320A5E"/>
    <w:rsid w:val="1B34387D"/>
    <w:rsid w:val="1B416BA3"/>
    <w:rsid w:val="1B5E076F"/>
    <w:rsid w:val="1B742AD4"/>
    <w:rsid w:val="1B886580"/>
    <w:rsid w:val="1BA57132"/>
    <w:rsid w:val="1BAC6712"/>
    <w:rsid w:val="1BC3580A"/>
    <w:rsid w:val="1C0F5CE4"/>
    <w:rsid w:val="1C104FD5"/>
    <w:rsid w:val="1C202C5C"/>
    <w:rsid w:val="1C214187"/>
    <w:rsid w:val="1C33473D"/>
    <w:rsid w:val="1C58013A"/>
    <w:rsid w:val="1C5E76EB"/>
    <w:rsid w:val="1C6C5EA1"/>
    <w:rsid w:val="1C730FDE"/>
    <w:rsid w:val="1C907DE2"/>
    <w:rsid w:val="1CA7512B"/>
    <w:rsid w:val="1CA92C52"/>
    <w:rsid w:val="1CB25FAA"/>
    <w:rsid w:val="1CC47A8B"/>
    <w:rsid w:val="1CCB0E1A"/>
    <w:rsid w:val="1CCC4B92"/>
    <w:rsid w:val="1CDC6E78"/>
    <w:rsid w:val="1CE505F7"/>
    <w:rsid w:val="1CEE2D5A"/>
    <w:rsid w:val="1CFC0FD3"/>
    <w:rsid w:val="1D012A8E"/>
    <w:rsid w:val="1D022362"/>
    <w:rsid w:val="1D214EDE"/>
    <w:rsid w:val="1D27599E"/>
    <w:rsid w:val="1D3E15EC"/>
    <w:rsid w:val="1D4330A6"/>
    <w:rsid w:val="1D4B5AB7"/>
    <w:rsid w:val="1D50131F"/>
    <w:rsid w:val="1D5A03F0"/>
    <w:rsid w:val="1D5A7F0F"/>
    <w:rsid w:val="1D920DB4"/>
    <w:rsid w:val="1DA5394B"/>
    <w:rsid w:val="1DC00253"/>
    <w:rsid w:val="1DD2442A"/>
    <w:rsid w:val="1DD7559C"/>
    <w:rsid w:val="1DDC7057"/>
    <w:rsid w:val="1DE55D8F"/>
    <w:rsid w:val="1DE57CB9"/>
    <w:rsid w:val="1DE877AA"/>
    <w:rsid w:val="1DF223D6"/>
    <w:rsid w:val="1E0F2F88"/>
    <w:rsid w:val="1E18008F"/>
    <w:rsid w:val="1E2922F9"/>
    <w:rsid w:val="1E2F53D8"/>
    <w:rsid w:val="1E3907CA"/>
    <w:rsid w:val="1E3D18A3"/>
    <w:rsid w:val="1E450758"/>
    <w:rsid w:val="1E506A70"/>
    <w:rsid w:val="1E5B1AEE"/>
    <w:rsid w:val="1E636E30"/>
    <w:rsid w:val="1E6A46D3"/>
    <w:rsid w:val="1E77229C"/>
    <w:rsid w:val="1E7D4396"/>
    <w:rsid w:val="1E7D6144"/>
    <w:rsid w:val="1E7F010E"/>
    <w:rsid w:val="1EAB1474"/>
    <w:rsid w:val="1EAC4C7B"/>
    <w:rsid w:val="1EB678A8"/>
    <w:rsid w:val="1EBE5641"/>
    <w:rsid w:val="1EC2624D"/>
    <w:rsid w:val="1ECA6EAF"/>
    <w:rsid w:val="1ECB6560"/>
    <w:rsid w:val="1ECC5FB0"/>
    <w:rsid w:val="1EDC39D2"/>
    <w:rsid w:val="1EEC6066"/>
    <w:rsid w:val="1EF07217"/>
    <w:rsid w:val="1EF108E0"/>
    <w:rsid w:val="1EF503D0"/>
    <w:rsid w:val="1F022AED"/>
    <w:rsid w:val="1F071EB1"/>
    <w:rsid w:val="1F180F5C"/>
    <w:rsid w:val="1F1857EA"/>
    <w:rsid w:val="1F2B3DF2"/>
    <w:rsid w:val="1F2C6621"/>
    <w:rsid w:val="1F4610D9"/>
    <w:rsid w:val="1F4B7BC1"/>
    <w:rsid w:val="1F5E193C"/>
    <w:rsid w:val="1F856829"/>
    <w:rsid w:val="1F923E71"/>
    <w:rsid w:val="1F9D6372"/>
    <w:rsid w:val="1FA92F69"/>
    <w:rsid w:val="1FB52ACC"/>
    <w:rsid w:val="1FB75686"/>
    <w:rsid w:val="1FBC0EEE"/>
    <w:rsid w:val="1FC73D74"/>
    <w:rsid w:val="1FCB7383"/>
    <w:rsid w:val="1FD17106"/>
    <w:rsid w:val="2032673E"/>
    <w:rsid w:val="203778E9"/>
    <w:rsid w:val="20401B1F"/>
    <w:rsid w:val="20407429"/>
    <w:rsid w:val="204D7D98"/>
    <w:rsid w:val="20523600"/>
    <w:rsid w:val="20623843"/>
    <w:rsid w:val="206F7D0E"/>
    <w:rsid w:val="20743577"/>
    <w:rsid w:val="2096173F"/>
    <w:rsid w:val="209A1B8C"/>
    <w:rsid w:val="209E31A4"/>
    <w:rsid w:val="20A163A0"/>
    <w:rsid w:val="20A51982"/>
    <w:rsid w:val="20A91472"/>
    <w:rsid w:val="20B47E17"/>
    <w:rsid w:val="20C13AC7"/>
    <w:rsid w:val="20C75D9C"/>
    <w:rsid w:val="20CE15D6"/>
    <w:rsid w:val="20D00BC7"/>
    <w:rsid w:val="20DC2233"/>
    <w:rsid w:val="20DE0728"/>
    <w:rsid w:val="210743EB"/>
    <w:rsid w:val="213F5933"/>
    <w:rsid w:val="215018EE"/>
    <w:rsid w:val="217A72A7"/>
    <w:rsid w:val="21853D69"/>
    <w:rsid w:val="219537A4"/>
    <w:rsid w:val="219E6AFD"/>
    <w:rsid w:val="21A34113"/>
    <w:rsid w:val="21B52099"/>
    <w:rsid w:val="21BA76AF"/>
    <w:rsid w:val="21BF2D72"/>
    <w:rsid w:val="21C569DD"/>
    <w:rsid w:val="21E5472C"/>
    <w:rsid w:val="21EB4B7D"/>
    <w:rsid w:val="22014A07"/>
    <w:rsid w:val="22250044"/>
    <w:rsid w:val="2230171F"/>
    <w:rsid w:val="22304B50"/>
    <w:rsid w:val="22581024"/>
    <w:rsid w:val="225B7012"/>
    <w:rsid w:val="22603DB2"/>
    <w:rsid w:val="227F6FE0"/>
    <w:rsid w:val="22874CC3"/>
    <w:rsid w:val="22941CAE"/>
    <w:rsid w:val="229D0A56"/>
    <w:rsid w:val="22BE4F7D"/>
    <w:rsid w:val="22C500B9"/>
    <w:rsid w:val="22E20C6B"/>
    <w:rsid w:val="22EE5862"/>
    <w:rsid w:val="23166B67"/>
    <w:rsid w:val="233C22E0"/>
    <w:rsid w:val="23412753"/>
    <w:rsid w:val="234B4D59"/>
    <w:rsid w:val="23572D88"/>
    <w:rsid w:val="237C4C1C"/>
    <w:rsid w:val="237C6220"/>
    <w:rsid w:val="239E42B6"/>
    <w:rsid w:val="23AE4FF1"/>
    <w:rsid w:val="23B73EA6"/>
    <w:rsid w:val="23BD6FE3"/>
    <w:rsid w:val="23CB7951"/>
    <w:rsid w:val="23D42CAA"/>
    <w:rsid w:val="23E7405F"/>
    <w:rsid w:val="2419690F"/>
    <w:rsid w:val="241E5A1E"/>
    <w:rsid w:val="242552B4"/>
    <w:rsid w:val="242A1F27"/>
    <w:rsid w:val="242E1C8E"/>
    <w:rsid w:val="24343749"/>
    <w:rsid w:val="243B6430"/>
    <w:rsid w:val="245420B1"/>
    <w:rsid w:val="24593AFB"/>
    <w:rsid w:val="247278C4"/>
    <w:rsid w:val="24765B0F"/>
    <w:rsid w:val="2480698E"/>
    <w:rsid w:val="24885842"/>
    <w:rsid w:val="24A00DDE"/>
    <w:rsid w:val="24BD373E"/>
    <w:rsid w:val="24C26FA6"/>
    <w:rsid w:val="24C70AF7"/>
    <w:rsid w:val="24C820E3"/>
    <w:rsid w:val="24DD02AA"/>
    <w:rsid w:val="24E707BB"/>
    <w:rsid w:val="25113A8A"/>
    <w:rsid w:val="25273B1F"/>
    <w:rsid w:val="25302162"/>
    <w:rsid w:val="25641E0C"/>
    <w:rsid w:val="25665B84"/>
    <w:rsid w:val="256718FC"/>
    <w:rsid w:val="25726E5C"/>
    <w:rsid w:val="25757B75"/>
    <w:rsid w:val="25880798"/>
    <w:rsid w:val="258A3996"/>
    <w:rsid w:val="258C4EBE"/>
    <w:rsid w:val="259978BF"/>
    <w:rsid w:val="25B951CF"/>
    <w:rsid w:val="25BC7BF5"/>
    <w:rsid w:val="25BF7042"/>
    <w:rsid w:val="25C24D84"/>
    <w:rsid w:val="25C55BFB"/>
    <w:rsid w:val="25DC0F83"/>
    <w:rsid w:val="25DD69FB"/>
    <w:rsid w:val="25E847EB"/>
    <w:rsid w:val="25F413E1"/>
    <w:rsid w:val="26054EA7"/>
    <w:rsid w:val="26306192"/>
    <w:rsid w:val="265359DC"/>
    <w:rsid w:val="26747E2C"/>
    <w:rsid w:val="26804FE9"/>
    <w:rsid w:val="26864004"/>
    <w:rsid w:val="268A5179"/>
    <w:rsid w:val="26BE72FA"/>
    <w:rsid w:val="26CD1C32"/>
    <w:rsid w:val="26D608D1"/>
    <w:rsid w:val="26D7660D"/>
    <w:rsid w:val="26E72CF4"/>
    <w:rsid w:val="26F64573"/>
    <w:rsid w:val="2705317A"/>
    <w:rsid w:val="27070CA1"/>
    <w:rsid w:val="270C246F"/>
    <w:rsid w:val="270F224B"/>
    <w:rsid w:val="273B6B9C"/>
    <w:rsid w:val="273E668C"/>
    <w:rsid w:val="27473793"/>
    <w:rsid w:val="274F2647"/>
    <w:rsid w:val="274F43F6"/>
    <w:rsid w:val="27513EBD"/>
    <w:rsid w:val="2767173F"/>
    <w:rsid w:val="27736336"/>
    <w:rsid w:val="277F2F2D"/>
    <w:rsid w:val="278B79C7"/>
    <w:rsid w:val="278D28DB"/>
    <w:rsid w:val="279B3ADF"/>
    <w:rsid w:val="27AE3812"/>
    <w:rsid w:val="27B626C7"/>
    <w:rsid w:val="27B66AB6"/>
    <w:rsid w:val="27B801ED"/>
    <w:rsid w:val="27BE60C1"/>
    <w:rsid w:val="27F21951"/>
    <w:rsid w:val="2802590C"/>
    <w:rsid w:val="283D6A2C"/>
    <w:rsid w:val="284303FE"/>
    <w:rsid w:val="28481571"/>
    <w:rsid w:val="284E28FF"/>
    <w:rsid w:val="288E60A1"/>
    <w:rsid w:val="28901201"/>
    <w:rsid w:val="28A55106"/>
    <w:rsid w:val="28AD2AA2"/>
    <w:rsid w:val="28CA642A"/>
    <w:rsid w:val="28EE2BC0"/>
    <w:rsid w:val="28FB5B40"/>
    <w:rsid w:val="290B259E"/>
    <w:rsid w:val="29257B04"/>
    <w:rsid w:val="29373393"/>
    <w:rsid w:val="295B3526"/>
    <w:rsid w:val="29B82726"/>
    <w:rsid w:val="29C9048F"/>
    <w:rsid w:val="29E06F0F"/>
    <w:rsid w:val="29EC23D0"/>
    <w:rsid w:val="29F25631"/>
    <w:rsid w:val="29F574D6"/>
    <w:rsid w:val="29F80D74"/>
    <w:rsid w:val="2A102562"/>
    <w:rsid w:val="2A225DF1"/>
    <w:rsid w:val="2A257690"/>
    <w:rsid w:val="2A323E92"/>
    <w:rsid w:val="2A3B1828"/>
    <w:rsid w:val="2A5266D7"/>
    <w:rsid w:val="2A665192"/>
    <w:rsid w:val="2A88034A"/>
    <w:rsid w:val="2A9A62D0"/>
    <w:rsid w:val="2A9E14B9"/>
    <w:rsid w:val="2AB2290D"/>
    <w:rsid w:val="2AB253C7"/>
    <w:rsid w:val="2ABF61AC"/>
    <w:rsid w:val="2ACE5780"/>
    <w:rsid w:val="2AE01F34"/>
    <w:rsid w:val="2AF754D0"/>
    <w:rsid w:val="2AF76403"/>
    <w:rsid w:val="2AFE060C"/>
    <w:rsid w:val="2B0D4CF3"/>
    <w:rsid w:val="2B147C7E"/>
    <w:rsid w:val="2B220BBD"/>
    <w:rsid w:val="2B381BDF"/>
    <w:rsid w:val="2B41088E"/>
    <w:rsid w:val="2B591CE7"/>
    <w:rsid w:val="2B6F150A"/>
    <w:rsid w:val="2B726905"/>
    <w:rsid w:val="2B88061D"/>
    <w:rsid w:val="2B9845BD"/>
    <w:rsid w:val="2B9B40AD"/>
    <w:rsid w:val="2BA77447"/>
    <w:rsid w:val="2BC27715"/>
    <w:rsid w:val="2BE07D12"/>
    <w:rsid w:val="2BF33EE9"/>
    <w:rsid w:val="2BF51A0F"/>
    <w:rsid w:val="2BFF63EA"/>
    <w:rsid w:val="2C300C99"/>
    <w:rsid w:val="2C5030EA"/>
    <w:rsid w:val="2C69781B"/>
    <w:rsid w:val="2C7831FE"/>
    <w:rsid w:val="2C7F39CF"/>
    <w:rsid w:val="2C867342"/>
    <w:rsid w:val="2C9D5CA2"/>
    <w:rsid w:val="2C9F7BCD"/>
    <w:rsid w:val="2CB74F17"/>
    <w:rsid w:val="2CBC42DB"/>
    <w:rsid w:val="2CD5539D"/>
    <w:rsid w:val="2CD55F15"/>
    <w:rsid w:val="2CDD3A49"/>
    <w:rsid w:val="2CE90E48"/>
    <w:rsid w:val="2D314CC9"/>
    <w:rsid w:val="2D360531"/>
    <w:rsid w:val="2D3C541C"/>
    <w:rsid w:val="2D460049"/>
    <w:rsid w:val="2D497519"/>
    <w:rsid w:val="2D4F15F3"/>
    <w:rsid w:val="2D502C75"/>
    <w:rsid w:val="2D5E5AD6"/>
    <w:rsid w:val="2D64329E"/>
    <w:rsid w:val="2DA03BFD"/>
    <w:rsid w:val="2DA93602"/>
    <w:rsid w:val="2DAA682A"/>
    <w:rsid w:val="2DB23588"/>
    <w:rsid w:val="2DBB0A37"/>
    <w:rsid w:val="2E0C1292"/>
    <w:rsid w:val="2E373D9E"/>
    <w:rsid w:val="2E4844D8"/>
    <w:rsid w:val="2E4865B6"/>
    <w:rsid w:val="2E497DF1"/>
    <w:rsid w:val="2E556DBD"/>
    <w:rsid w:val="2E6B420B"/>
    <w:rsid w:val="2E7C01C6"/>
    <w:rsid w:val="2E7D7A9A"/>
    <w:rsid w:val="2E876B6B"/>
    <w:rsid w:val="2E9D638E"/>
    <w:rsid w:val="2EA414CB"/>
    <w:rsid w:val="2EB45BB2"/>
    <w:rsid w:val="2EC41B6D"/>
    <w:rsid w:val="2EC76F67"/>
    <w:rsid w:val="2EDF69A7"/>
    <w:rsid w:val="2EE26132"/>
    <w:rsid w:val="2EF36113"/>
    <w:rsid w:val="2EF51D26"/>
    <w:rsid w:val="2EF94172"/>
    <w:rsid w:val="2EF97A69"/>
    <w:rsid w:val="2F0F6197"/>
    <w:rsid w:val="2F1F5EAD"/>
    <w:rsid w:val="2F230642"/>
    <w:rsid w:val="2F3C7955"/>
    <w:rsid w:val="2F430CE4"/>
    <w:rsid w:val="2F4631CC"/>
    <w:rsid w:val="2F5C1DA5"/>
    <w:rsid w:val="2F5F53F2"/>
    <w:rsid w:val="2F6D1FC4"/>
    <w:rsid w:val="2F762E67"/>
    <w:rsid w:val="2F77273B"/>
    <w:rsid w:val="2F792957"/>
    <w:rsid w:val="2F7B66D0"/>
    <w:rsid w:val="2F81180C"/>
    <w:rsid w:val="2F884949"/>
    <w:rsid w:val="2F9342DE"/>
    <w:rsid w:val="2FB43990"/>
    <w:rsid w:val="2FC242FE"/>
    <w:rsid w:val="2FD606AA"/>
    <w:rsid w:val="2FDC6A42"/>
    <w:rsid w:val="2FEB69E1"/>
    <w:rsid w:val="2FFA4522"/>
    <w:rsid w:val="3002294D"/>
    <w:rsid w:val="30055F99"/>
    <w:rsid w:val="300E37B7"/>
    <w:rsid w:val="301B04D0"/>
    <w:rsid w:val="302503E9"/>
    <w:rsid w:val="302640C3"/>
    <w:rsid w:val="302C5C1C"/>
    <w:rsid w:val="306233EC"/>
    <w:rsid w:val="30696528"/>
    <w:rsid w:val="307355F9"/>
    <w:rsid w:val="30753757"/>
    <w:rsid w:val="308710A4"/>
    <w:rsid w:val="3095731D"/>
    <w:rsid w:val="30963095"/>
    <w:rsid w:val="309C4B4F"/>
    <w:rsid w:val="30A47560"/>
    <w:rsid w:val="30A9726C"/>
    <w:rsid w:val="30C145B6"/>
    <w:rsid w:val="30DD6F16"/>
    <w:rsid w:val="30F10516"/>
    <w:rsid w:val="30F1651D"/>
    <w:rsid w:val="30FF50DE"/>
    <w:rsid w:val="31307046"/>
    <w:rsid w:val="313724E3"/>
    <w:rsid w:val="3143321D"/>
    <w:rsid w:val="316E7C65"/>
    <w:rsid w:val="31857392"/>
    <w:rsid w:val="31934FFB"/>
    <w:rsid w:val="319351C6"/>
    <w:rsid w:val="31A33CBC"/>
    <w:rsid w:val="31A50EFF"/>
    <w:rsid w:val="31B639EF"/>
    <w:rsid w:val="31CA78A1"/>
    <w:rsid w:val="31D2654B"/>
    <w:rsid w:val="31E340B8"/>
    <w:rsid w:val="31E83DC4"/>
    <w:rsid w:val="321D3A6E"/>
    <w:rsid w:val="32317519"/>
    <w:rsid w:val="323808A8"/>
    <w:rsid w:val="323E5792"/>
    <w:rsid w:val="325925CC"/>
    <w:rsid w:val="32621481"/>
    <w:rsid w:val="326C2300"/>
    <w:rsid w:val="327F2033"/>
    <w:rsid w:val="32803FFD"/>
    <w:rsid w:val="329F6C65"/>
    <w:rsid w:val="32BD2B5B"/>
    <w:rsid w:val="32DF17F1"/>
    <w:rsid w:val="330965B2"/>
    <w:rsid w:val="330D3AE3"/>
    <w:rsid w:val="33165655"/>
    <w:rsid w:val="331F3816"/>
    <w:rsid w:val="33280D55"/>
    <w:rsid w:val="333C7F24"/>
    <w:rsid w:val="33423060"/>
    <w:rsid w:val="3344327C"/>
    <w:rsid w:val="33527747"/>
    <w:rsid w:val="3364747B"/>
    <w:rsid w:val="336B0697"/>
    <w:rsid w:val="338673F1"/>
    <w:rsid w:val="33AB4480"/>
    <w:rsid w:val="33B26438"/>
    <w:rsid w:val="33B811CA"/>
    <w:rsid w:val="33BC1065"/>
    <w:rsid w:val="33DA14EB"/>
    <w:rsid w:val="33DA212E"/>
    <w:rsid w:val="34050C5E"/>
    <w:rsid w:val="340F05EB"/>
    <w:rsid w:val="341449FD"/>
    <w:rsid w:val="341A493D"/>
    <w:rsid w:val="344D19E3"/>
    <w:rsid w:val="34592D57"/>
    <w:rsid w:val="346A6497"/>
    <w:rsid w:val="347E631A"/>
    <w:rsid w:val="3489363D"/>
    <w:rsid w:val="349124F1"/>
    <w:rsid w:val="3491604D"/>
    <w:rsid w:val="34983880"/>
    <w:rsid w:val="34992B44"/>
    <w:rsid w:val="34B54432"/>
    <w:rsid w:val="34DA79F4"/>
    <w:rsid w:val="34E5711E"/>
    <w:rsid w:val="34EB1FE1"/>
    <w:rsid w:val="34EE16F2"/>
    <w:rsid w:val="34FD36E3"/>
    <w:rsid w:val="35042CC3"/>
    <w:rsid w:val="350D601C"/>
    <w:rsid w:val="3513546A"/>
    <w:rsid w:val="35260E8C"/>
    <w:rsid w:val="35335357"/>
    <w:rsid w:val="35383A3F"/>
    <w:rsid w:val="353C06AF"/>
    <w:rsid w:val="354237EC"/>
    <w:rsid w:val="357C4F4F"/>
    <w:rsid w:val="357E2785"/>
    <w:rsid w:val="359009FB"/>
    <w:rsid w:val="35942299"/>
    <w:rsid w:val="35947AA0"/>
    <w:rsid w:val="35AB75E3"/>
    <w:rsid w:val="35AC60C9"/>
    <w:rsid w:val="35B72571"/>
    <w:rsid w:val="35E87A5C"/>
    <w:rsid w:val="35F5260C"/>
    <w:rsid w:val="36174C78"/>
    <w:rsid w:val="36274EBB"/>
    <w:rsid w:val="36370E76"/>
    <w:rsid w:val="3647730B"/>
    <w:rsid w:val="366A124C"/>
    <w:rsid w:val="36716136"/>
    <w:rsid w:val="368174E7"/>
    <w:rsid w:val="368340BC"/>
    <w:rsid w:val="36A02BD9"/>
    <w:rsid w:val="36AF46D3"/>
    <w:rsid w:val="36DE023B"/>
    <w:rsid w:val="36E032BC"/>
    <w:rsid w:val="36E2757E"/>
    <w:rsid w:val="370074BA"/>
    <w:rsid w:val="371A3B7B"/>
    <w:rsid w:val="37217B5C"/>
    <w:rsid w:val="37337890"/>
    <w:rsid w:val="37357164"/>
    <w:rsid w:val="374675C3"/>
    <w:rsid w:val="37555A58"/>
    <w:rsid w:val="3756532C"/>
    <w:rsid w:val="375B2943"/>
    <w:rsid w:val="375B45BA"/>
    <w:rsid w:val="375C6DE7"/>
    <w:rsid w:val="375D0BB7"/>
    <w:rsid w:val="37643EED"/>
    <w:rsid w:val="377C1237"/>
    <w:rsid w:val="378679C0"/>
    <w:rsid w:val="378A5FBA"/>
    <w:rsid w:val="378B147A"/>
    <w:rsid w:val="37D05871"/>
    <w:rsid w:val="37E0775A"/>
    <w:rsid w:val="37F60FE9"/>
    <w:rsid w:val="38213B8C"/>
    <w:rsid w:val="38263E74"/>
    <w:rsid w:val="382B0567"/>
    <w:rsid w:val="38332C9D"/>
    <w:rsid w:val="386F0B39"/>
    <w:rsid w:val="3870241E"/>
    <w:rsid w:val="38740160"/>
    <w:rsid w:val="387C3D9E"/>
    <w:rsid w:val="38912AC0"/>
    <w:rsid w:val="38BC2700"/>
    <w:rsid w:val="38BE5E78"/>
    <w:rsid w:val="38CC32A3"/>
    <w:rsid w:val="38DE731A"/>
    <w:rsid w:val="3906344F"/>
    <w:rsid w:val="391413C5"/>
    <w:rsid w:val="391F631E"/>
    <w:rsid w:val="39277E71"/>
    <w:rsid w:val="392A64CB"/>
    <w:rsid w:val="392F4087"/>
    <w:rsid w:val="3930052B"/>
    <w:rsid w:val="39305DCF"/>
    <w:rsid w:val="393D49F6"/>
    <w:rsid w:val="39663F4D"/>
    <w:rsid w:val="396D7049"/>
    <w:rsid w:val="3995213C"/>
    <w:rsid w:val="39987E7E"/>
    <w:rsid w:val="39A011A2"/>
    <w:rsid w:val="39A442B6"/>
    <w:rsid w:val="39AB3E1F"/>
    <w:rsid w:val="39AB7BB1"/>
    <w:rsid w:val="39B43F9F"/>
    <w:rsid w:val="39B87A17"/>
    <w:rsid w:val="39DB4D3F"/>
    <w:rsid w:val="39FA42E6"/>
    <w:rsid w:val="3A192D6D"/>
    <w:rsid w:val="3A3920EF"/>
    <w:rsid w:val="3A394391"/>
    <w:rsid w:val="3A3E6A33"/>
    <w:rsid w:val="3A571AE7"/>
    <w:rsid w:val="3A8D5509"/>
    <w:rsid w:val="3A8D7D5E"/>
    <w:rsid w:val="3AAD63D6"/>
    <w:rsid w:val="3ABE56C2"/>
    <w:rsid w:val="3AD06B58"/>
    <w:rsid w:val="3AD84368"/>
    <w:rsid w:val="3AEA4709"/>
    <w:rsid w:val="3AF13CEA"/>
    <w:rsid w:val="3AF17846"/>
    <w:rsid w:val="3B020233"/>
    <w:rsid w:val="3B1F2605"/>
    <w:rsid w:val="3B21657E"/>
    <w:rsid w:val="3B36794F"/>
    <w:rsid w:val="3B53405D"/>
    <w:rsid w:val="3B554279"/>
    <w:rsid w:val="3B5F61F0"/>
    <w:rsid w:val="3B660234"/>
    <w:rsid w:val="3B691AD2"/>
    <w:rsid w:val="3B6E0799"/>
    <w:rsid w:val="3B783AC3"/>
    <w:rsid w:val="3B7A783B"/>
    <w:rsid w:val="3B9823B7"/>
    <w:rsid w:val="3BA548E8"/>
    <w:rsid w:val="3BA64AD4"/>
    <w:rsid w:val="3BA743A8"/>
    <w:rsid w:val="3BB32D4D"/>
    <w:rsid w:val="3BB64529"/>
    <w:rsid w:val="3BB70A8F"/>
    <w:rsid w:val="3BC1179E"/>
    <w:rsid w:val="3BC3180A"/>
    <w:rsid w:val="3BE03990"/>
    <w:rsid w:val="3BE9676F"/>
    <w:rsid w:val="3C2D2B00"/>
    <w:rsid w:val="3C387596"/>
    <w:rsid w:val="3C5E53AF"/>
    <w:rsid w:val="3C6960FA"/>
    <w:rsid w:val="3C6E183B"/>
    <w:rsid w:val="3C704B9A"/>
    <w:rsid w:val="3C7249B6"/>
    <w:rsid w:val="3C814BF9"/>
    <w:rsid w:val="3C836BC3"/>
    <w:rsid w:val="3CBC20D5"/>
    <w:rsid w:val="3CC35212"/>
    <w:rsid w:val="3CE404D5"/>
    <w:rsid w:val="3CEF4259"/>
    <w:rsid w:val="3CF90C34"/>
    <w:rsid w:val="3D0D2931"/>
    <w:rsid w:val="3D163594"/>
    <w:rsid w:val="3D536596"/>
    <w:rsid w:val="3D580050"/>
    <w:rsid w:val="3D622C7D"/>
    <w:rsid w:val="3D9649DE"/>
    <w:rsid w:val="3D9957A2"/>
    <w:rsid w:val="3DB01C3A"/>
    <w:rsid w:val="3DB56F56"/>
    <w:rsid w:val="3DB845CB"/>
    <w:rsid w:val="3DCD1253"/>
    <w:rsid w:val="3DDA2813"/>
    <w:rsid w:val="3DE322B0"/>
    <w:rsid w:val="3DF064DB"/>
    <w:rsid w:val="3DFA7DAF"/>
    <w:rsid w:val="3E210442"/>
    <w:rsid w:val="3E304B29"/>
    <w:rsid w:val="3E4D7489"/>
    <w:rsid w:val="3E682515"/>
    <w:rsid w:val="3E6A003B"/>
    <w:rsid w:val="3E75253C"/>
    <w:rsid w:val="3E930190"/>
    <w:rsid w:val="3E9926CE"/>
    <w:rsid w:val="3E9C564E"/>
    <w:rsid w:val="3EA03A5D"/>
    <w:rsid w:val="3EB74854"/>
    <w:rsid w:val="3EC6723B"/>
    <w:rsid w:val="3ED01E68"/>
    <w:rsid w:val="3EE00F0E"/>
    <w:rsid w:val="3EE77677"/>
    <w:rsid w:val="3EF84588"/>
    <w:rsid w:val="3EFC2C5D"/>
    <w:rsid w:val="3F1C50AD"/>
    <w:rsid w:val="3F283A52"/>
    <w:rsid w:val="3F30184B"/>
    <w:rsid w:val="3F316DAB"/>
    <w:rsid w:val="3F4C5993"/>
    <w:rsid w:val="3F4D5267"/>
    <w:rsid w:val="3F536D21"/>
    <w:rsid w:val="3F544847"/>
    <w:rsid w:val="3F65496D"/>
    <w:rsid w:val="3F676329"/>
    <w:rsid w:val="3F732F1F"/>
    <w:rsid w:val="3F746C97"/>
    <w:rsid w:val="3F7E18C4"/>
    <w:rsid w:val="3F7F7B16"/>
    <w:rsid w:val="3F827606"/>
    <w:rsid w:val="3F9B06C8"/>
    <w:rsid w:val="3F9C3E9D"/>
    <w:rsid w:val="3FA550A3"/>
    <w:rsid w:val="3FAA090B"/>
    <w:rsid w:val="3FAD28A8"/>
    <w:rsid w:val="3FC96FE3"/>
    <w:rsid w:val="3FD05E04"/>
    <w:rsid w:val="3FD87226"/>
    <w:rsid w:val="3FDD483D"/>
    <w:rsid w:val="3FEB6F5A"/>
    <w:rsid w:val="3FFA0F4B"/>
    <w:rsid w:val="400B3158"/>
    <w:rsid w:val="400E0E9A"/>
    <w:rsid w:val="402C2169"/>
    <w:rsid w:val="402C30CE"/>
    <w:rsid w:val="40384169"/>
    <w:rsid w:val="403A57EB"/>
    <w:rsid w:val="403D539A"/>
    <w:rsid w:val="40572841"/>
    <w:rsid w:val="405A7C3B"/>
    <w:rsid w:val="40703903"/>
    <w:rsid w:val="409C46F8"/>
    <w:rsid w:val="40A435AC"/>
    <w:rsid w:val="40B25CC9"/>
    <w:rsid w:val="40B76E3C"/>
    <w:rsid w:val="40BA4B7E"/>
    <w:rsid w:val="40D45C40"/>
    <w:rsid w:val="40DC2D46"/>
    <w:rsid w:val="40DE6ABE"/>
    <w:rsid w:val="40E51BFB"/>
    <w:rsid w:val="40F938F8"/>
    <w:rsid w:val="40FE43D2"/>
    <w:rsid w:val="41202C33"/>
    <w:rsid w:val="41367CD9"/>
    <w:rsid w:val="413908AF"/>
    <w:rsid w:val="413E755D"/>
    <w:rsid w:val="41526B64"/>
    <w:rsid w:val="4153243F"/>
    <w:rsid w:val="417864BA"/>
    <w:rsid w:val="41837B8A"/>
    <w:rsid w:val="41882764"/>
    <w:rsid w:val="41A35612"/>
    <w:rsid w:val="41A76EB0"/>
    <w:rsid w:val="41A90E7A"/>
    <w:rsid w:val="41B93A30"/>
    <w:rsid w:val="41C007E7"/>
    <w:rsid w:val="41EC3DB8"/>
    <w:rsid w:val="41EE4ADF"/>
    <w:rsid w:val="41FE609F"/>
    <w:rsid w:val="42011300"/>
    <w:rsid w:val="423B376C"/>
    <w:rsid w:val="424B1F31"/>
    <w:rsid w:val="424E37D0"/>
    <w:rsid w:val="424F6E19"/>
    <w:rsid w:val="425F2A90"/>
    <w:rsid w:val="4264439A"/>
    <w:rsid w:val="428A2835"/>
    <w:rsid w:val="4294746C"/>
    <w:rsid w:val="42B850ED"/>
    <w:rsid w:val="42D57A4D"/>
    <w:rsid w:val="42E63A08"/>
    <w:rsid w:val="42E87780"/>
    <w:rsid w:val="42F36125"/>
    <w:rsid w:val="43193DDE"/>
    <w:rsid w:val="43324E9F"/>
    <w:rsid w:val="43404AF6"/>
    <w:rsid w:val="434370AD"/>
    <w:rsid w:val="43493821"/>
    <w:rsid w:val="434D3686"/>
    <w:rsid w:val="43521ED2"/>
    <w:rsid w:val="43571FB5"/>
    <w:rsid w:val="435D63C3"/>
    <w:rsid w:val="43607C5E"/>
    <w:rsid w:val="43631A52"/>
    <w:rsid w:val="436464E7"/>
    <w:rsid w:val="436867B8"/>
    <w:rsid w:val="437234EE"/>
    <w:rsid w:val="437454B8"/>
    <w:rsid w:val="4379310F"/>
    <w:rsid w:val="43855E6F"/>
    <w:rsid w:val="43875261"/>
    <w:rsid w:val="4390705C"/>
    <w:rsid w:val="43963680"/>
    <w:rsid w:val="43A22025"/>
    <w:rsid w:val="43BE6733"/>
    <w:rsid w:val="43D82D62"/>
    <w:rsid w:val="43DB5537"/>
    <w:rsid w:val="43DD305D"/>
    <w:rsid w:val="44191BBB"/>
    <w:rsid w:val="441A6456"/>
    <w:rsid w:val="442C18EF"/>
    <w:rsid w:val="443133A9"/>
    <w:rsid w:val="44515D2B"/>
    <w:rsid w:val="445A645C"/>
    <w:rsid w:val="44623562"/>
    <w:rsid w:val="448259B3"/>
    <w:rsid w:val="44827761"/>
    <w:rsid w:val="44925ED6"/>
    <w:rsid w:val="44BC7116"/>
    <w:rsid w:val="44F248E6"/>
    <w:rsid w:val="45107462"/>
    <w:rsid w:val="451E3489"/>
    <w:rsid w:val="4520206A"/>
    <w:rsid w:val="454A786E"/>
    <w:rsid w:val="455E45FB"/>
    <w:rsid w:val="45772F7D"/>
    <w:rsid w:val="4594599D"/>
    <w:rsid w:val="459C4F2F"/>
    <w:rsid w:val="45A676CD"/>
    <w:rsid w:val="45BB5620"/>
    <w:rsid w:val="45C75D73"/>
    <w:rsid w:val="45D43FEC"/>
    <w:rsid w:val="45D54CE7"/>
    <w:rsid w:val="45E5269D"/>
    <w:rsid w:val="45E6176B"/>
    <w:rsid w:val="46026DAB"/>
    <w:rsid w:val="460436F4"/>
    <w:rsid w:val="460C5E7C"/>
    <w:rsid w:val="460F3276"/>
    <w:rsid w:val="461A5119"/>
    <w:rsid w:val="463B050F"/>
    <w:rsid w:val="463B22BD"/>
    <w:rsid w:val="46476EB4"/>
    <w:rsid w:val="466E2692"/>
    <w:rsid w:val="466E61EE"/>
    <w:rsid w:val="467C5CBF"/>
    <w:rsid w:val="46AE07A8"/>
    <w:rsid w:val="46BC33FE"/>
    <w:rsid w:val="46E110B6"/>
    <w:rsid w:val="46E1335C"/>
    <w:rsid w:val="46F10BCE"/>
    <w:rsid w:val="46F9712C"/>
    <w:rsid w:val="46FF7608"/>
    <w:rsid w:val="47050574"/>
    <w:rsid w:val="473531B0"/>
    <w:rsid w:val="47523D62"/>
    <w:rsid w:val="475A2C17"/>
    <w:rsid w:val="475E2707"/>
    <w:rsid w:val="47953C4F"/>
    <w:rsid w:val="47A10846"/>
    <w:rsid w:val="47A45C40"/>
    <w:rsid w:val="47AC3472"/>
    <w:rsid w:val="47AD2D46"/>
    <w:rsid w:val="47E36768"/>
    <w:rsid w:val="47F941DE"/>
    <w:rsid w:val="480037BE"/>
    <w:rsid w:val="481E1E96"/>
    <w:rsid w:val="482079BC"/>
    <w:rsid w:val="48396CD0"/>
    <w:rsid w:val="484F02A2"/>
    <w:rsid w:val="48530D78"/>
    <w:rsid w:val="48531B40"/>
    <w:rsid w:val="48587156"/>
    <w:rsid w:val="48651873"/>
    <w:rsid w:val="4876419A"/>
    <w:rsid w:val="487D4E0F"/>
    <w:rsid w:val="48931F3C"/>
    <w:rsid w:val="48C06AA9"/>
    <w:rsid w:val="48F30C2D"/>
    <w:rsid w:val="491753DE"/>
    <w:rsid w:val="49184B37"/>
    <w:rsid w:val="49333E05"/>
    <w:rsid w:val="49374FBE"/>
    <w:rsid w:val="493C25D4"/>
    <w:rsid w:val="494D47E1"/>
    <w:rsid w:val="494F142D"/>
    <w:rsid w:val="496106E8"/>
    <w:rsid w:val="49634005"/>
    <w:rsid w:val="497F0F73"/>
    <w:rsid w:val="49834858"/>
    <w:rsid w:val="49A40179"/>
    <w:rsid w:val="49BA174B"/>
    <w:rsid w:val="49ED1B20"/>
    <w:rsid w:val="49EF5898"/>
    <w:rsid w:val="49EF7646"/>
    <w:rsid w:val="4A0263A2"/>
    <w:rsid w:val="4A361719"/>
    <w:rsid w:val="4A392FB7"/>
    <w:rsid w:val="4A6F0787"/>
    <w:rsid w:val="4A722025"/>
    <w:rsid w:val="4A745D9D"/>
    <w:rsid w:val="4A79738F"/>
    <w:rsid w:val="4A993A56"/>
    <w:rsid w:val="4A9B6BD2"/>
    <w:rsid w:val="4AB03279"/>
    <w:rsid w:val="4ABC6384"/>
    <w:rsid w:val="4ADD3943"/>
    <w:rsid w:val="4ADF76BB"/>
    <w:rsid w:val="4B296B88"/>
    <w:rsid w:val="4B2D0246"/>
    <w:rsid w:val="4B5F6A4E"/>
    <w:rsid w:val="4B683B54"/>
    <w:rsid w:val="4B7F2C4C"/>
    <w:rsid w:val="4B8A1D1C"/>
    <w:rsid w:val="4B995953"/>
    <w:rsid w:val="4BA15364"/>
    <w:rsid w:val="4BA5100B"/>
    <w:rsid w:val="4BA97168"/>
    <w:rsid w:val="4BE51166"/>
    <w:rsid w:val="4BE64A79"/>
    <w:rsid w:val="4BE8259F"/>
    <w:rsid w:val="4BE96317"/>
    <w:rsid w:val="4BF005F8"/>
    <w:rsid w:val="4BF947AC"/>
    <w:rsid w:val="4C002082"/>
    <w:rsid w:val="4C03562B"/>
    <w:rsid w:val="4C5B5467"/>
    <w:rsid w:val="4C627FA3"/>
    <w:rsid w:val="4C74101E"/>
    <w:rsid w:val="4C786019"/>
    <w:rsid w:val="4C807BDF"/>
    <w:rsid w:val="4C871DB8"/>
    <w:rsid w:val="4C8A3A6D"/>
    <w:rsid w:val="4C8C3233"/>
    <w:rsid w:val="4CBD3A2C"/>
    <w:rsid w:val="4CCE3E8B"/>
    <w:rsid w:val="4CD71D7C"/>
    <w:rsid w:val="4CDC7ED3"/>
    <w:rsid w:val="4CE07047"/>
    <w:rsid w:val="4CFB09F8"/>
    <w:rsid w:val="4CFD299A"/>
    <w:rsid w:val="4CFD651E"/>
    <w:rsid w:val="4CFF7CFB"/>
    <w:rsid w:val="4D043409"/>
    <w:rsid w:val="4D151ABA"/>
    <w:rsid w:val="4D341814"/>
    <w:rsid w:val="4D384089"/>
    <w:rsid w:val="4D4C4DB0"/>
    <w:rsid w:val="4D8549AA"/>
    <w:rsid w:val="4D94630E"/>
    <w:rsid w:val="4DA70238"/>
    <w:rsid w:val="4DA911F4"/>
    <w:rsid w:val="4DB50BA7"/>
    <w:rsid w:val="4DBF1A26"/>
    <w:rsid w:val="4DC66910"/>
    <w:rsid w:val="4DD4483A"/>
    <w:rsid w:val="4DDF79D2"/>
    <w:rsid w:val="4DEF40B9"/>
    <w:rsid w:val="4E0464F5"/>
    <w:rsid w:val="4E1223E0"/>
    <w:rsid w:val="4E252DBF"/>
    <w:rsid w:val="4E362243"/>
    <w:rsid w:val="4E4B32B9"/>
    <w:rsid w:val="4E5744B8"/>
    <w:rsid w:val="4E683E6B"/>
    <w:rsid w:val="4E8F31A6"/>
    <w:rsid w:val="4EAD7AD0"/>
    <w:rsid w:val="4EB250E6"/>
    <w:rsid w:val="4EBC7D13"/>
    <w:rsid w:val="4EC15329"/>
    <w:rsid w:val="4ECC264C"/>
    <w:rsid w:val="4EDD03B5"/>
    <w:rsid w:val="4EE80B08"/>
    <w:rsid w:val="4F135B85"/>
    <w:rsid w:val="4F147B4F"/>
    <w:rsid w:val="4F381A8F"/>
    <w:rsid w:val="4F427DD6"/>
    <w:rsid w:val="4F72302C"/>
    <w:rsid w:val="4F724D8D"/>
    <w:rsid w:val="4F752402"/>
    <w:rsid w:val="4F8D1B24"/>
    <w:rsid w:val="4F8E5B53"/>
    <w:rsid w:val="4F8F1E96"/>
    <w:rsid w:val="4FA3455E"/>
    <w:rsid w:val="4FB629B4"/>
    <w:rsid w:val="4FB82BD0"/>
    <w:rsid w:val="4FC7696F"/>
    <w:rsid w:val="4FCE41A2"/>
    <w:rsid w:val="4FDA66A3"/>
    <w:rsid w:val="4FE13ED5"/>
    <w:rsid w:val="4FEE214E"/>
    <w:rsid w:val="4FF05EC6"/>
    <w:rsid w:val="50043D0D"/>
    <w:rsid w:val="50205DD7"/>
    <w:rsid w:val="5038161B"/>
    <w:rsid w:val="506568B4"/>
    <w:rsid w:val="50680152"/>
    <w:rsid w:val="5077417F"/>
    <w:rsid w:val="50962F12"/>
    <w:rsid w:val="50B213CE"/>
    <w:rsid w:val="50C11611"/>
    <w:rsid w:val="50C44F5F"/>
    <w:rsid w:val="50CC248F"/>
    <w:rsid w:val="50DE0415"/>
    <w:rsid w:val="51025EB1"/>
    <w:rsid w:val="510C6D30"/>
    <w:rsid w:val="51165E00"/>
    <w:rsid w:val="51275918"/>
    <w:rsid w:val="512E314A"/>
    <w:rsid w:val="51452242"/>
    <w:rsid w:val="514A7157"/>
    <w:rsid w:val="5184720E"/>
    <w:rsid w:val="51932FAD"/>
    <w:rsid w:val="51954F77"/>
    <w:rsid w:val="51962A9D"/>
    <w:rsid w:val="51D86C37"/>
    <w:rsid w:val="5209420A"/>
    <w:rsid w:val="52187956"/>
    <w:rsid w:val="52191242"/>
    <w:rsid w:val="523A78CD"/>
    <w:rsid w:val="523B183D"/>
    <w:rsid w:val="523C16FE"/>
    <w:rsid w:val="523C53F3"/>
    <w:rsid w:val="525210BA"/>
    <w:rsid w:val="525B2449"/>
    <w:rsid w:val="525E448F"/>
    <w:rsid w:val="525F10E1"/>
    <w:rsid w:val="52636E23"/>
    <w:rsid w:val="526A4EE3"/>
    <w:rsid w:val="527F6965"/>
    <w:rsid w:val="52E37F64"/>
    <w:rsid w:val="52FE4D9E"/>
    <w:rsid w:val="53085830"/>
    <w:rsid w:val="53114AD1"/>
    <w:rsid w:val="532760A3"/>
    <w:rsid w:val="53395DD6"/>
    <w:rsid w:val="534A7FE3"/>
    <w:rsid w:val="535B7AFB"/>
    <w:rsid w:val="53672943"/>
    <w:rsid w:val="5367649F"/>
    <w:rsid w:val="53764934"/>
    <w:rsid w:val="537806AC"/>
    <w:rsid w:val="537A6AAC"/>
    <w:rsid w:val="537F7C8D"/>
    <w:rsid w:val="538C4158"/>
    <w:rsid w:val="539D0113"/>
    <w:rsid w:val="53AC47FA"/>
    <w:rsid w:val="53E768E2"/>
    <w:rsid w:val="53EF4D62"/>
    <w:rsid w:val="54161C73"/>
    <w:rsid w:val="541E12AE"/>
    <w:rsid w:val="5423440D"/>
    <w:rsid w:val="543071D9"/>
    <w:rsid w:val="546450D5"/>
    <w:rsid w:val="546724CF"/>
    <w:rsid w:val="546B0211"/>
    <w:rsid w:val="5480697A"/>
    <w:rsid w:val="54B43966"/>
    <w:rsid w:val="54C067AF"/>
    <w:rsid w:val="54C87878"/>
    <w:rsid w:val="54CA56C2"/>
    <w:rsid w:val="54DB5397"/>
    <w:rsid w:val="54EA5E4E"/>
    <w:rsid w:val="551408A9"/>
    <w:rsid w:val="55384597"/>
    <w:rsid w:val="5546338C"/>
    <w:rsid w:val="55546EF7"/>
    <w:rsid w:val="5555142A"/>
    <w:rsid w:val="55651104"/>
    <w:rsid w:val="558F1CDD"/>
    <w:rsid w:val="55B66D8D"/>
    <w:rsid w:val="55C951EF"/>
    <w:rsid w:val="55CB4DE2"/>
    <w:rsid w:val="55D03DFD"/>
    <w:rsid w:val="55E22755"/>
    <w:rsid w:val="55EC174B"/>
    <w:rsid w:val="55FC3817"/>
    <w:rsid w:val="5612303A"/>
    <w:rsid w:val="561D19DF"/>
    <w:rsid w:val="56295165"/>
    <w:rsid w:val="56436C26"/>
    <w:rsid w:val="564614AF"/>
    <w:rsid w:val="566040EB"/>
    <w:rsid w:val="56665134"/>
    <w:rsid w:val="56772E9D"/>
    <w:rsid w:val="56890E23"/>
    <w:rsid w:val="568A7075"/>
    <w:rsid w:val="569D3DCB"/>
    <w:rsid w:val="56B57E6A"/>
    <w:rsid w:val="56E36785"/>
    <w:rsid w:val="56F72230"/>
    <w:rsid w:val="56FC03E1"/>
    <w:rsid w:val="57081D47"/>
    <w:rsid w:val="572F5526"/>
    <w:rsid w:val="57424E05"/>
    <w:rsid w:val="57457047"/>
    <w:rsid w:val="574F7976"/>
    <w:rsid w:val="5755756F"/>
    <w:rsid w:val="575578BF"/>
    <w:rsid w:val="575B631B"/>
    <w:rsid w:val="575C2431"/>
    <w:rsid w:val="57645D57"/>
    <w:rsid w:val="57B43C7D"/>
    <w:rsid w:val="57B92028"/>
    <w:rsid w:val="57D04F5B"/>
    <w:rsid w:val="57DC0653"/>
    <w:rsid w:val="57E97DCB"/>
    <w:rsid w:val="57FB5D50"/>
    <w:rsid w:val="57FB7AFE"/>
    <w:rsid w:val="5806109E"/>
    <w:rsid w:val="580A1AEF"/>
    <w:rsid w:val="581B1F4E"/>
    <w:rsid w:val="58242D50"/>
    <w:rsid w:val="583848AE"/>
    <w:rsid w:val="5853793A"/>
    <w:rsid w:val="586E06EB"/>
    <w:rsid w:val="58782EFD"/>
    <w:rsid w:val="587D0513"/>
    <w:rsid w:val="588965E4"/>
    <w:rsid w:val="58987ADE"/>
    <w:rsid w:val="58A31E4C"/>
    <w:rsid w:val="58A67CAE"/>
    <w:rsid w:val="58AB4F0C"/>
    <w:rsid w:val="58BC634D"/>
    <w:rsid w:val="58C459C5"/>
    <w:rsid w:val="58D02D39"/>
    <w:rsid w:val="58D2260D"/>
    <w:rsid w:val="58DE5AAF"/>
    <w:rsid w:val="58E862D4"/>
    <w:rsid w:val="590A1717"/>
    <w:rsid w:val="59376914"/>
    <w:rsid w:val="593C03CE"/>
    <w:rsid w:val="59462FFB"/>
    <w:rsid w:val="59515103"/>
    <w:rsid w:val="59682F71"/>
    <w:rsid w:val="598A007F"/>
    <w:rsid w:val="598A738C"/>
    <w:rsid w:val="599259E9"/>
    <w:rsid w:val="59AA358A"/>
    <w:rsid w:val="59BA330C"/>
    <w:rsid w:val="59CD1026"/>
    <w:rsid w:val="5A14660A"/>
    <w:rsid w:val="5A1B6236"/>
    <w:rsid w:val="5A2275C4"/>
    <w:rsid w:val="5A252C10"/>
    <w:rsid w:val="5A3410A5"/>
    <w:rsid w:val="5A5766CF"/>
    <w:rsid w:val="5A6000EC"/>
    <w:rsid w:val="5A682467"/>
    <w:rsid w:val="5AC15997"/>
    <w:rsid w:val="5AC32B55"/>
    <w:rsid w:val="5ACC12DE"/>
    <w:rsid w:val="5AE95897"/>
    <w:rsid w:val="5AF46358"/>
    <w:rsid w:val="5AF50835"/>
    <w:rsid w:val="5AF727FF"/>
    <w:rsid w:val="5AF949A9"/>
    <w:rsid w:val="5B0B1A11"/>
    <w:rsid w:val="5B0E2DD5"/>
    <w:rsid w:val="5B2321E6"/>
    <w:rsid w:val="5B3F7D02"/>
    <w:rsid w:val="5B461090"/>
    <w:rsid w:val="5B4B2B4A"/>
    <w:rsid w:val="5B527A35"/>
    <w:rsid w:val="5B6065F6"/>
    <w:rsid w:val="5B6955DE"/>
    <w:rsid w:val="5B7A6F8C"/>
    <w:rsid w:val="5B9068E6"/>
    <w:rsid w:val="5B914A01"/>
    <w:rsid w:val="5B9B5880"/>
    <w:rsid w:val="5BB90BEA"/>
    <w:rsid w:val="5BB97AB4"/>
    <w:rsid w:val="5BC50DF2"/>
    <w:rsid w:val="5BD42B40"/>
    <w:rsid w:val="5BDC37A3"/>
    <w:rsid w:val="5BE73E5A"/>
    <w:rsid w:val="5BFE7BBD"/>
    <w:rsid w:val="5C114530"/>
    <w:rsid w:val="5C1A7576"/>
    <w:rsid w:val="5C257B68"/>
    <w:rsid w:val="5C2A5F17"/>
    <w:rsid w:val="5C2C4B92"/>
    <w:rsid w:val="5C2E7D2B"/>
    <w:rsid w:val="5C384E7D"/>
    <w:rsid w:val="5C4E4FFA"/>
    <w:rsid w:val="5C5A1297"/>
    <w:rsid w:val="5C5F68AD"/>
    <w:rsid w:val="5C677510"/>
    <w:rsid w:val="5C6A5252"/>
    <w:rsid w:val="5C797243"/>
    <w:rsid w:val="5C8028A2"/>
    <w:rsid w:val="5CAD7CBA"/>
    <w:rsid w:val="5CBA48F7"/>
    <w:rsid w:val="5CBC2C67"/>
    <w:rsid w:val="5CCB12F9"/>
    <w:rsid w:val="5CD66444"/>
    <w:rsid w:val="5CE2128D"/>
    <w:rsid w:val="5CE779D0"/>
    <w:rsid w:val="5CEE2299"/>
    <w:rsid w:val="5CFF3BED"/>
    <w:rsid w:val="5D005288"/>
    <w:rsid w:val="5D144A17"/>
    <w:rsid w:val="5D184CAE"/>
    <w:rsid w:val="5D3B04FC"/>
    <w:rsid w:val="5D5D0C48"/>
    <w:rsid w:val="5D600B2F"/>
    <w:rsid w:val="5D681792"/>
    <w:rsid w:val="5D713498"/>
    <w:rsid w:val="5D797E2B"/>
    <w:rsid w:val="5D9C768D"/>
    <w:rsid w:val="5DB46785"/>
    <w:rsid w:val="5DB475D6"/>
    <w:rsid w:val="5DD010E5"/>
    <w:rsid w:val="5DD9443E"/>
    <w:rsid w:val="5DF272AD"/>
    <w:rsid w:val="5E0314BA"/>
    <w:rsid w:val="5E0B78D6"/>
    <w:rsid w:val="5E127950"/>
    <w:rsid w:val="5E157BF4"/>
    <w:rsid w:val="5E41471F"/>
    <w:rsid w:val="5E66480E"/>
    <w:rsid w:val="5E684A8B"/>
    <w:rsid w:val="5E6B169A"/>
    <w:rsid w:val="5E734DF0"/>
    <w:rsid w:val="5E8932FB"/>
    <w:rsid w:val="5EA7453C"/>
    <w:rsid w:val="5EB277E9"/>
    <w:rsid w:val="5EBD78BB"/>
    <w:rsid w:val="5EC90557"/>
    <w:rsid w:val="5EDA046D"/>
    <w:rsid w:val="5EE17A4E"/>
    <w:rsid w:val="5EE94B54"/>
    <w:rsid w:val="5EF332DD"/>
    <w:rsid w:val="5F0A1473"/>
    <w:rsid w:val="5F0C3F3B"/>
    <w:rsid w:val="5F1443EF"/>
    <w:rsid w:val="5F2416E8"/>
    <w:rsid w:val="5F245B8C"/>
    <w:rsid w:val="5F2922AC"/>
    <w:rsid w:val="5F3F4774"/>
    <w:rsid w:val="5F427DC1"/>
    <w:rsid w:val="5F4310ED"/>
    <w:rsid w:val="5F5F0972"/>
    <w:rsid w:val="5F6D7533"/>
    <w:rsid w:val="5F704BB8"/>
    <w:rsid w:val="5F90197E"/>
    <w:rsid w:val="5F915990"/>
    <w:rsid w:val="5F923EF4"/>
    <w:rsid w:val="5FAB3BB8"/>
    <w:rsid w:val="5FAD7930"/>
    <w:rsid w:val="5FBB55C3"/>
    <w:rsid w:val="5FBC7B73"/>
    <w:rsid w:val="5FC4044D"/>
    <w:rsid w:val="5FC829BC"/>
    <w:rsid w:val="5FC91695"/>
    <w:rsid w:val="5FDC6D68"/>
    <w:rsid w:val="5FFA069B"/>
    <w:rsid w:val="5FFF5CB2"/>
    <w:rsid w:val="6021140E"/>
    <w:rsid w:val="6022641E"/>
    <w:rsid w:val="60367925"/>
    <w:rsid w:val="60442D10"/>
    <w:rsid w:val="604C7149"/>
    <w:rsid w:val="6051737C"/>
    <w:rsid w:val="605204D7"/>
    <w:rsid w:val="60822B6A"/>
    <w:rsid w:val="60844B35"/>
    <w:rsid w:val="60911000"/>
    <w:rsid w:val="60BF5B6D"/>
    <w:rsid w:val="60C44EA2"/>
    <w:rsid w:val="60C56EFB"/>
    <w:rsid w:val="60DA0BF8"/>
    <w:rsid w:val="60EE1FAE"/>
    <w:rsid w:val="6106379C"/>
    <w:rsid w:val="610E5FB8"/>
    <w:rsid w:val="61300818"/>
    <w:rsid w:val="61532E77"/>
    <w:rsid w:val="6155202D"/>
    <w:rsid w:val="61655B26"/>
    <w:rsid w:val="616D0318"/>
    <w:rsid w:val="61891CD7"/>
    <w:rsid w:val="61954B1F"/>
    <w:rsid w:val="619D717E"/>
    <w:rsid w:val="61A556D5"/>
    <w:rsid w:val="61BD7BD2"/>
    <w:rsid w:val="61BE4076"/>
    <w:rsid w:val="61C64A0E"/>
    <w:rsid w:val="61D5316E"/>
    <w:rsid w:val="61DE741A"/>
    <w:rsid w:val="61E536D7"/>
    <w:rsid w:val="61E71B3C"/>
    <w:rsid w:val="61E83A55"/>
    <w:rsid w:val="61EF2482"/>
    <w:rsid w:val="61F47A8C"/>
    <w:rsid w:val="61FF01EB"/>
    <w:rsid w:val="61FF6A4A"/>
    <w:rsid w:val="620610E4"/>
    <w:rsid w:val="62092E18"/>
    <w:rsid w:val="6223037D"/>
    <w:rsid w:val="623A1223"/>
    <w:rsid w:val="625B18C5"/>
    <w:rsid w:val="625D388F"/>
    <w:rsid w:val="62662018"/>
    <w:rsid w:val="628801E0"/>
    <w:rsid w:val="628E6D66"/>
    <w:rsid w:val="628F156F"/>
    <w:rsid w:val="62D12788"/>
    <w:rsid w:val="62D5154B"/>
    <w:rsid w:val="62DF2C53"/>
    <w:rsid w:val="62F13FD7"/>
    <w:rsid w:val="63141A74"/>
    <w:rsid w:val="631D4DCC"/>
    <w:rsid w:val="63302D52"/>
    <w:rsid w:val="6347009B"/>
    <w:rsid w:val="634934B6"/>
    <w:rsid w:val="63500CFE"/>
    <w:rsid w:val="635C3B47"/>
    <w:rsid w:val="635F3637"/>
    <w:rsid w:val="636B3D8A"/>
    <w:rsid w:val="636C2C6A"/>
    <w:rsid w:val="63844E4C"/>
    <w:rsid w:val="63874AB6"/>
    <w:rsid w:val="63934283"/>
    <w:rsid w:val="639F28F6"/>
    <w:rsid w:val="63A159FD"/>
    <w:rsid w:val="63AB193F"/>
    <w:rsid w:val="63AC7EFE"/>
    <w:rsid w:val="63AE3C76"/>
    <w:rsid w:val="63B35731"/>
    <w:rsid w:val="63B53257"/>
    <w:rsid w:val="63C05CD6"/>
    <w:rsid w:val="63CB7DC7"/>
    <w:rsid w:val="63E87188"/>
    <w:rsid w:val="63EB7492"/>
    <w:rsid w:val="63F12655"/>
    <w:rsid w:val="63F346D9"/>
    <w:rsid w:val="63F518A5"/>
    <w:rsid w:val="63FC1ADB"/>
    <w:rsid w:val="63FF0976"/>
    <w:rsid w:val="64142142"/>
    <w:rsid w:val="641C6F31"/>
    <w:rsid w:val="64357EF4"/>
    <w:rsid w:val="643B03A5"/>
    <w:rsid w:val="64460353"/>
    <w:rsid w:val="64487C27"/>
    <w:rsid w:val="644D16E1"/>
    <w:rsid w:val="646627A3"/>
    <w:rsid w:val="64794284"/>
    <w:rsid w:val="647E7AED"/>
    <w:rsid w:val="64AE06C7"/>
    <w:rsid w:val="64C21DE9"/>
    <w:rsid w:val="64C869E5"/>
    <w:rsid w:val="64DE058B"/>
    <w:rsid w:val="65031DA0"/>
    <w:rsid w:val="651346D9"/>
    <w:rsid w:val="65177DE5"/>
    <w:rsid w:val="65391000"/>
    <w:rsid w:val="65525488"/>
    <w:rsid w:val="6564030A"/>
    <w:rsid w:val="657D7DA4"/>
    <w:rsid w:val="65860A87"/>
    <w:rsid w:val="658630FD"/>
    <w:rsid w:val="659813FF"/>
    <w:rsid w:val="65A610A9"/>
    <w:rsid w:val="65CE0600"/>
    <w:rsid w:val="65D35C16"/>
    <w:rsid w:val="65E120E1"/>
    <w:rsid w:val="65EB2F60"/>
    <w:rsid w:val="65EF3ACF"/>
    <w:rsid w:val="65FA7647"/>
    <w:rsid w:val="65FF4C5D"/>
    <w:rsid w:val="66173FFF"/>
    <w:rsid w:val="66252916"/>
    <w:rsid w:val="66320B8F"/>
    <w:rsid w:val="664C768C"/>
    <w:rsid w:val="66524D8D"/>
    <w:rsid w:val="66680A54"/>
    <w:rsid w:val="668A09CB"/>
    <w:rsid w:val="66A575B3"/>
    <w:rsid w:val="66AA6977"/>
    <w:rsid w:val="66B14A5C"/>
    <w:rsid w:val="66B5531C"/>
    <w:rsid w:val="66B772E6"/>
    <w:rsid w:val="66BA1B9D"/>
    <w:rsid w:val="66BB6DD6"/>
    <w:rsid w:val="66C27134"/>
    <w:rsid w:val="66FE3167"/>
    <w:rsid w:val="67065B78"/>
    <w:rsid w:val="670B0E19"/>
    <w:rsid w:val="67112E9A"/>
    <w:rsid w:val="672260F0"/>
    <w:rsid w:val="675B438E"/>
    <w:rsid w:val="67A45B43"/>
    <w:rsid w:val="67B11F87"/>
    <w:rsid w:val="67B441CA"/>
    <w:rsid w:val="67B6134C"/>
    <w:rsid w:val="67B70E05"/>
    <w:rsid w:val="67D53EC8"/>
    <w:rsid w:val="67E55FA7"/>
    <w:rsid w:val="67E67E83"/>
    <w:rsid w:val="67EB1957"/>
    <w:rsid w:val="68016A6B"/>
    <w:rsid w:val="68030A35"/>
    <w:rsid w:val="683230C8"/>
    <w:rsid w:val="68446392"/>
    <w:rsid w:val="68582403"/>
    <w:rsid w:val="68650EC7"/>
    <w:rsid w:val="68871922"/>
    <w:rsid w:val="68945B31"/>
    <w:rsid w:val="689F6284"/>
    <w:rsid w:val="68BB130F"/>
    <w:rsid w:val="68E00D76"/>
    <w:rsid w:val="68E72104"/>
    <w:rsid w:val="68E85E7D"/>
    <w:rsid w:val="68EB3277"/>
    <w:rsid w:val="68FC0C06"/>
    <w:rsid w:val="691B0000"/>
    <w:rsid w:val="691C1682"/>
    <w:rsid w:val="692D388F"/>
    <w:rsid w:val="69586B5E"/>
    <w:rsid w:val="695A0B28"/>
    <w:rsid w:val="69653029"/>
    <w:rsid w:val="697274F4"/>
    <w:rsid w:val="69747710"/>
    <w:rsid w:val="697F3918"/>
    <w:rsid w:val="69A3761B"/>
    <w:rsid w:val="69D837FB"/>
    <w:rsid w:val="6A043E21"/>
    <w:rsid w:val="6A1011E7"/>
    <w:rsid w:val="6A136A7E"/>
    <w:rsid w:val="6A152CA1"/>
    <w:rsid w:val="6A193EAF"/>
    <w:rsid w:val="6A2C1D99"/>
    <w:rsid w:val="6A2E5B11"/>
    <w:rsid w:val="6A33620D"/>
    <w:rsid w:val="6A440E91"/>
    <w:rsid w:val="6A570BC4"/>
    <w:rsid w:val="6A823F4D"/>
    <w:rsid w:val="6A843983"/>
    <w:rsid w:val="6ABC169E"/>
    <w:rsid w:val="6AD0508E"/>
    <w:rsid w:val="6ADC5F14"/>
    <w:rsid w:val="6AE663EC"/>
    <w:rsid w:val="6B0D1BCA"/>
    <w:rsid w:val="6B460C38"/>
    <w:rsid w:val="6B4C44A1"/>
    <w:rsid w:val="6B4E646B"/>
    <w:rsid w:val="6B5748A4"/>
    <w:rsid w:val="6B5E6B41"/>
    <w:rsid w:val="6B6A2A24"/>
    <w:rsid w:val="6B9064A9"/>
    <w:rsid w:val="6BA2467F"/>
    <w:rsid w:val="6BA4289F"/>
    <w:rsid w:val="6BB84F2A"/>
    <w:rsid w:val="6BC54253"/>
    <w:rsid w:val="6BC93D43"/>
    <w:rsid w:val="6BCA3618"/>
    <w:rsid w:val="6C1256EA"/>
    <w:rsid w:val="6C164AAF"/>
    <w:rsid w:val="6C1C0317"/>
    <w:rsid w:val="6C2E1DF8"/>
    <w:rsid w:val="6C5C0714"/>
    <w:rsid w:val="6C627CF4"/>
    <w:rsid w:val="6C67530A"/>
    <w:rsid w:val="6C700663"/>
    <w:rsid w:val="6C702411"/>
    <w:rsid w:val="6C8C05CE"/>
    <w:rsid w:val="6C91114E"/>
    <w:rsid w:val="6C9C4FB4"/>
    <w:rsid w:val="6CA1081C"/>
    <w:rsid w:val="6CA9147F"/>
    <w:rsid w:val="6CAB25EE"/>
    <w:rsid w:val="6CB06CB1"/>
    <w:rsid w:val="6CBE6F14"/>
    <w:rsid w:val="6CC62031"/>
    <w:rsid w:val="6CC83FFB"/>
    <w:rsid w:val="6CD04C5E"/>
    <w:rsid w:val="6CD52274"/>
    <w:rsid w:val="6CDE55CC"/>
    <w:rsid w:val="6CED1CB3"/>
    <w:rsid w:val="6D0D1A0E"/>
    <w:rsid w:val="6D0F1C2A"/>
    <w:rsid w:val="6D1C7EA3"/>
    <w:rsid w:val="6D2A31CF"/>
    <w:rsid w:val="6D3E4D42"/>
    <w:rsid w:val="6D4A0571"/>
    <w:rsid w:val="6D613B84"/>
    <w:rsid w:val="6D6535F8"/>
    <w:rsid w:val="6D6A0D9B"/>
    <w:rsid w:val="6D885538"/>
    <w:rsid w:val="6D9130CC"/>
    <w:rsid w:val="6DB037F2"/>
    <w:rsid w:val="6DB4152E"/>
    <w:rsid w:val="6DBC151C"/>
    <w:rsid w:val="6DBC51E2"/>
    <w:rsid w:val="6DBD3434"/>
    <w:rsid w:val="6DC919E9"/>
    <w:rsid w:val="6DE76703"/>
    <w:rsid w:val="6E31137D"/>
    <w:rsid w:val="6E4E22DE"/>
    <w:rsid w:val="6E5F098F"/>
    <w:rsid w:val="6E741F89"/>
    <w:rsid w:val="6E7C1F1F"/>
    <w:rsid w:val="6E8977BA"/>
    <w:rsid w:val="6EB26D11"/>
    <w:rsid w:val="6EBE3907"/>
    <w:rsid w:val="6ED07197"/>
    <w:rsid w:val="6EE60768"/>
    <w:rsid w:val="6F0F0944"/>
    <w:rsid w:val="6F1F1ECC"/>
    <w:rsid w:val="6F241291"/>
    <w:rsid w:val="6F4D07E7"/>
    <w:rsid w:val="6F6B6EC0"/>
    <w:rsid w:val="6F724715"/>
    <w:rsid w:val="6F78668B"/>
    <w:rsid w:val="6F806E0F"/>
    <w:rsid w:val="6F8306AD"/>
    <w:rsid w:val="6F8E50BB"/>
    <w:rsid w:val="6F926B42"/>
    <w:rsid w:val="6F944668"/>
    <w:rsid w:val="6FA348AB"/>
    <w:rsid w:val="6FA7439C"/>
    <w:rsid w:val="6FBA1F43"/>
    <w:rsid w:val="6FBD596D"/>
    <w:rsid w:val="6FC0545D"/>
    <w:rsid w:val="6FE729EA"/>
    <w:rsid w:val="6FEF623E"/>
    <w:rsid w:val="700215D2"/>
    <w:rsid w:val="701232B3"/>
    <w:rsid w:val="70265AD1"/>
    <w:rsid w:val="702A2BB8"/>
    <w:rsid w:val="70686C25"/>
    <w:rsid w:val="70974410"/>
    <w:rsid w:val="709B5583"/>
    <w:rsid w:val="70A1528F"/>
    <w:rsid w:val="70D54F38"/>
    <w:rsid w:val="70D76682"/>
    <w:rsid w:val="70DB3154"/>
    <w:rsid w:val="70DD5B9B"/>
    <w:rsid w:val="70EF3EBD"/>
    <w:rsid w:val="70FB2349"/>
    <w:rsid w:val="7101188A"/>
    <w:rsid w:val="71094BE2"/>
    <w:rsid w:val="71105F71"/>
    <w:rsid w:val="71125845"/>
    <w:rsid w:val="71233367"/>
    <w:rsid w:val="713C6D66"/>
    <w:rsid w:val="713F2281"/>
    <w:rsid w:val="717604C9"/>
    <w:rsid w:val="71995F66"/>
    <w:rsid w:val="719D2525"/>
    <w:rsid w:val="71C8684B"/>
    <w:rsid w:val="71CB1E97"/>
    <w:rsid w:val="71D82E66"/>
    <w:rsid w:val="71E35433"/>
    <w:rsid w:val="71FB4B17"/>
    <w:rsid w:val="720158B9"/>
    <w:rsid w:val="720A29C0"/>
    <w:rsid w:val="720C6738"/>
    <w:rsid w:val="721F519C"/>
    <w:rsid w:val="72563E57"/>
    <w:rsid w:val="727B4EBF"/>
    <w:rsid w:val="72897D89"/>
    <w:rsid w:val="729074C8"/>
    <w:rsid w:val="72A746B3"/>
    <w:rsid w:val="72A93F87"/>
    <w:rsid w:val="72D354A8"/>
    <w:rsid w:val="72D74F98"/>
    <w:rsid w:val="72D763EF"/>
    <w:rsid w:val="72DB4300"/>
    <w:rsid w:val="72E651DB"/>
    <w:rsid w:val="72EB0A43"/>
    <w:rsid w:val="732950C8"/>
    <w:rsid w:val="73591E51"/>
    <w:rsid w:val="7363682B"/>
    <w:rsid w:val="73691968"/>
    <w:rsid w:val="737645C3"/>
    <w:rsid w:val="737C169B"/>
    <w:rsid w:val="737C5B3F"/>
    <w:rsid w:val="73822BCB"/>
    <w:rsid w:val="738844E4"/>
    <w:rsid w:val="73CD1EF7"/>
    <w:rsid w:val="73E3171A"/>
    <w:rsid w:val="73EB05CF"/>
    <w:rsid w:val="73EC33DA"/>
    <w:rsid w:val="73FE0302"/>
    <w:rsid w:val="7402656E"/>
    <w:rsid w:val="74235FBB"/>
    <w:rsid w:val="742800C2"/>
    <w:rsid w:val="743E5CC3"/>
    <w:rsid w:val="744328F5"/>
    <w:rsid w:val="7447614D"/>
    <w:rsid w:val="744C735C"/>
    <w:rsid w:val="747131CA"/>
    <w:rsid w:val="74806F69"/>
    <w:rsid w:val="74890514"/>
    <w:rsid w:val="749C74E2"/>
    <w:rsid w:val="74BD1F6B"/>
    <w:rsid w:val="74C0380A"/>
    <w:rsid w:val="74C432FA"/>
    <w:rsid w:val="74C72DEA"/>
    <w:rsid w:val="74D3030A"/>
    <w:rsid w:val="74DA0D6F"/>
    <w:rsid w:val="74DD616A"/>
    <w:rsid w:val="74F6722B"/>
    <w:rsid w:val="753D45DC"/>
    <w:rsid w:val="755347EB"/>
    <w:rsid w:val="75575F1C"/>
    <w:rsid w:val="756B19C7"/>
    <w:rsid w:val="756D3991"/>
    <w:rsid w:val="758033DF"/>
    <w:rsid w:val="7581743D"/>
    <w:rsid w:val="75AE7B06"/>
    <w:rsid w:val="75B01AD0"/>
    <w:rsid w:val="75BA294F"/>
    <w:rsid w:val="75C80BC8"/>
    <w:rsid w:val="75D94B83"/>
    <w:rsid w:val="75DF5F11"/>
    <w:rsid w:val="760616F0"/>
    <w:rsid w:val="76076C6E"/>
    <w:rsid w:val="761B33ED"/>
    <w:rsid w:val="7625426C"/>
    <w:rsid w:val="76277FE4"/>
    <w:rsid w:val="764A782F"/>
    <w:rsid w:val="764F12E9"/>
    <w:rsid w:val="766C59F7"/>
    <w:rsid w:val="76B77E51"/>
    <w:rsid w:val="76CF41D8"/>
    <w:rsid w:val="76D649A4"/>
    <w:rsid w:val="76E25CB9"/>
    <w:rsid w:val="76E732D0"/>
    <w:rsid w:val="76EC367A"/>
    <w:rsid w:val="76F346C7"/>
    <w:rsid w:val="76F52988"/>
    <w:rsid w:val="7706409E"/>
    <w:rsid w:val="77163BB5"/>
    <w:rsid w:val="771A5453"/>
    <w:rsid w:val="77216056"/>
    <w:rsid w:val="772B4D77"/>
    <w:rsid w:val="772D365C"/>
    <w:rsid w:val="773E04AF"/>
    <w:rsid w:val="77574BA7"/>
    <w:rsid w:val="775A6197"/>
    <w:rsid w:val="775C13C8"/>
    <w:rsid w:val="775D3592"/>
    <w:rsid w:val="7791320B"/>
    <w:rsid w:val="779A47E6"/>
    <w:rsid w:val="77A2369A"/>
    <w:rsid w:val="77B358A8"/>
    <w:rsid w:val="77C47AB5"/>
    <w:rsid w:val="77D00208"/>
    <w:rsid w:val="77E85551"/>
    <w:rsid w:val="77EB3293"/>
    <w:rsid w:val="77F264F4"/>
    <w:rsid w:val="780305DD"/>
    <w:rsid w:val="781400F4"/>
    <w:rsid w:val="78174088"/>
    <w:rsid w:val="78300CA6"/>
    <w:rsid w:val="783764D9"/>
    <w:rsid w:val="7856695F"/>
    <w:rsid w:val="78591FAB"/>
    <w:rsid w:val="786A55C5"/>
    <w:rsid w:val="78747491"/>
    <w:rsid w:val="787B6F67"/>
    <w:rsid w:val="789B0816"/>
    <w:rsid w:val="78A0407E"/>
    <w:rsid w:val="78A27DF6"/>
    <w:rsid w:val="78A771BA"/>
    <w:rsid w:val="78B74F24"/>
    <w:rsid w:val="78C31B1A"/>
    <w:rsid w:val="78D41F79"/>
    <w:rsid w:val="78DA069F"/>
    <w:rsid w:val="78E54A88"/>
    <w:rsid w:val="78E75809"/>
    <w:rsid w:val="78E81250"/>
    <w:rsid w:val="78EB1FA0"/>
    <w:rsid w:val="78EF46BD"/>
    <w:rsid w:val="79127BEB"/>
    <w:rsid w:val="79241014"/>
    <w:rsid w:val="793E7804"/>
    <w:rsid w:val="794B3FEA"/>
    <w:rsid w:val="79554E68"/>
    <w:rsid w:val="79572D64"/>
    <w:rsid w:val="797572B9"/>
    <w:rsid w:val="797D616D"/>
    <w:rsid w:val="79935991"/>
    <w:rsid w:val="799E45C2"/>
    <w:rsid w:val="79A424D8"/>
    <w:rsid w:val="79AE27CB"/>
    <w:rsid w:val="79B871A5"/>
    <w:rsid w:val="79BC4EE7"/>
    <w:rsid w:val="79DE103C"/>
    <w:rsid w:val="7A15284A"/>
    <w:rsid w:val="7A1B6473"/>
    <w:rsid w:val="7A2B3E1B"/>
    <w:rsid w:val="7A440A39"/>
    <w:rsid w:val="7A4F18B8"/>
    <w:rsid w:val="7A5549F4"/>
    <w:rsid w:val="7A5769C5"/>
    <w:rsid w:val="7A862E00"/>
    <w:rsid w:val="7A8D7BD4"/>
    <w:rsid w:val="7AA00365"/>
    <w:rsid w:val="7AC94B19"/>
    <w:rsid w:val="7ACD0A2E"/>
    <w:rsid w:val="7AD46261"/>
    <w:rsid w:val="7AF20495"/>
    <w:rsid w:val="7AF4420D"/>
    <w:rsid w:val="7AF661D7"/>
    <w:rsid w:val="7AFB37ED"/>
    <w:rsid w:val="7B0C21B8"/>
    <w:rsid w:val="7B190BBA"/>
    <w:rsid w:val="7B3C5405"/>
    <w:rsid w:val="7B5A2582"/>
    <w:rsid w:val="7B6115CF"/>
    <w:rsid w:val="7B65510B"/>
    <w:rsid w:val="7B6C6499"/>
    <w:rsid w:val="7B6F1AE6"/>
    <w:rsid w:val="7B7517F2"/>
    <w:rsid w:val="7B9D2AF7"/>
    <w:rsid w:val="7BA43E85"/>
    <w:rsid w:val="7BA45C33"/>
    <w:rsid w:val="7BA774D1"/>
    <w:rsid w:val="7BAB5214"/>
    <w:rsid w:val="7BB50248"/>
    <w:rsid w:val="7BBA0FB3"/>
    <w:rsid w:val="7BC10593"/>
    <w:rsid w:val="7BC167E5"/>
    <w:rsid w:val="7C1667C3"/>
    <w:rsid w:val="7C262AEC"/>
    <w:rsid w:val="7C2A184F"/>
    <w:rsid w:val="7C484810"/>
    <w:rsid w:val="7C4B60AF"/>
    <w:rsid w:val="7C4F3508"/>
    <w:rsid w:val="7C5331B5"/>
    <w:rsid w:val="7C596A1E"/>
    <w:rsid w:val="7C5A2796"/>
    <w:rsid w:val="7C5F1B82"/>
    <w:rsid w:val="7C5F7DAC"/>
    <w:rsid w:val="7C613B24"/>
    <w:rsid w:val="7C8021FC"/>
    <w:rsid w:val="7C8B0BA1"/>
    <w:rsid w:val="7C9C4B5C"/>
    <w:rsid w:val="7CA57EB5"/>
    <w:rsid w:val="7CA659DB"/>
    <w:rsid w:val="7CB50CD4"/>
    <w:rsid w:val="7CB73744"/>
    <w:rsid w:val="7CC118F4"/>
    <w:rsid w:val="7CC3658D"/>
    <w:rsid w:val="7CC436AF"/>
    <w:rsid w:val="7CCE3833"/>
    <w:rsid w:val="7D034BDB"/>
    <w:rsid w:val="7D172435"/>
    <w:rsid w:val="7D23702C"/>
    <w:rsid w:val="7D3B4375"/>
    <w:rsid w:val="7D462A99"/>
    <w:rsid w:val="7D4A280A"/>
    <w:rsid w:val="7D5471E5"/>
    <w:rsid w:val="7D705B5B"/>
    <w:rsid w:val="7D796C4C"/>
    <w:rsid w:val="7D7A4E9D"/>
    <w:rsid w:val="7D847286"/>
    <w:rsid w:val="7D8A0E59"/>
    <w:rsid w:val="7D9046C1"/>
    <w:rsid w:val="7DA676F3"/>
    <w:rsid w:val="7DC01FAA"/>
    <w:rsid w:val="7DC73E5B"/>
    <w:rsid w:val="7DCB1D0B"/>
    <w:rsid w:val="7DCD09A4"/>
    <w:rsid w:val="7DE44A0D"/>
    <w:rsid w:val="7DE561F2"/>
    <w:rsid w:val="7DEE0F43"/>
    <w:rsid w:val="7E0429B9"/>
    <w:rsid w:val="7E290672"/>
    <w:rsid w:val="7E4234E1"/>
    <w:rsid w:val="7E543940"/>
    <w:rsid w:val="7E590522"/>
    <w:rsid w:val="7E723DC7"/>
    <w:rsid w:val="7E7713DD"/>
    <w:rsid w:val="7E775881"/>
    <w:rsid w:val="7E90249F"/>
    <w:rsid w:val="7E9E2E0E"/>
    <w:rsid w:val="7EA146AC"/>
    <w:rsid w:val="7EA85A3A"/>
    <w:rsid w:val="7EAA7A04"/>
    <w:rsid w:val="7EAF6DC9"/>
    <w:rsid w:val="7EB268B9"/>
    <w:rsid w:val="7EBB576E"/>
    <w:rsid w:val="7ED44A81"/>
    <w:rsid w:val="7F102B9B"/>
    <w:rsid w:val="7F134E08"/>
    <w:rsid w:val="7F272E03"/>
    <w:rsid w:val="7F376DBE"/>
    <w:rsid w:val="7F413799"/>
    <w:rsid w:val="7F4C3DE7"/>
    <w:rsid w:val="7F4D0390"/>
    <w:rsid w:val="7F517E80"/>
    <w:rsid w:val="7F631961"/>
    <w:rsid w:val="7F78365F"/>
    <w:rsid w:val="7F7F2C3F"/>
    <w:rsid w:val="7F85087F"/>
    <w:rsid w:val="7F89761A"/>
    <w:rsid w:val="7F8A15E4"/>
    <w:rsid w:val="7FAB3A34"/>
    <w:rsid w:val="7FB87EFF"/>
    <w:rsid w:val="7FC00B62"/>
    <w:rsid w:val="7FC178AB"/>
    <w:rsid w:val="7FCD4930"/>
    <w:rsid w:val="7FD64829"/>
    <w:rsid w:val="7FD8234F"/>
    <w:rsid w:val="7FE24F7C"/>
    <w:rsid w:val="7FE9630A"/>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color w:val="000000"/>
      <w:kern w:val="2"/>
      <w:sz w:val="32"/>
      <w:szCs w:val="3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宋体" w:hAnsi="宋体" w:eastAsia="黑体"/>
      <w:b/>
      <w:bCs/>
    </w:rPr>
  </w:style>
  <w:style w:type="paragraph" w:styleId="4">
    <w:name w:val="heading 3"/>
    <w:basedOn w:val="1"/>
    <w:next w:val="1"/>
    <w:qFormat/>
    <w:uiPriority w:val="0"/>
    <w:pPr>
      <w:keepNext/>
      <w:keepLines/>
      <w:widowControl w:val="0"/>
      <w:spacing w:before="260" w:after="260" w:line="415" w:lineRule="auto"/>
      <w:outlineLvl w:val="2"/>
    </w:pPr>
    <w:rPr>
      <w:b/>
      <w:bCs/>
    </w:rPr>
  </w:style>
  <w:style w:type="paragraph" w:styleId="5">
    <w:name w:val="heading 5"/>
    <w:basedOn w:val="1"/>
    <w:next w:val="1"/>
    <w:qFormat/>
    <w:uiPriority w:val="0"/>
    <w:pPr>
      <w:keepNext/>
      <w:keepLines/>
      <w:widowControl w:val="0"/>
      <w:ind w:left="851"/>
      <w:outlineLvl w:val="4"/>
    </w:pPr>
    <w:rPr>
      <w:b/>
      <w:bCs/>
      <w:szCs w:val="28"/>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style>
  <w:style w:type="paragraph" w:styleId="7">
    <w:name w:val="Body Text"/>
    <w:basedOn w:val="1"/>
    <w:qFormat/>
    <w:uiPriority w:val="0"/>
    <w:pPr>
      <w:spacing w:line="460" w:lineRule="exact"/>
    </w:pPr>
  </w:style>
  <w:style w:type="paragraph" w:styleId="8">
    <w:name w:val="Body Text Indent"/>
    <w:basedOn w:val="1"/>
    <w:next w:val="6"/>
    <w:qFormat/>
    <w:uiPriority w:val="0"/>
  </w:style>
  <w:style w:type="paragraph" w:styleId="9">
    <w:name w:val="Plain Text"/>
    <w:basedOn w:val="1"/>
    <w:qFormat/>
    <w:uiPriority w:val="0"/>
    <w:rPr>
      <w:rFonts w:ascii="宋体" w:hAnsi="Courier New" w:eastAsia="宋体" w:cs="Courier New"/>
      <w:szCs w:val="21"/>
    </w:rPr>
  </w:style>
  <w:style w:type="paragraph" w:styleId="10">
    <w:name w:val="Body Text Indent 2"/>
    <w:basedOn w:val="1"/>
    <w:next w:val="11"/>
    <w:qFormat/>
    <w:uiPriority w:val="0"/>
    <w:pPr>
      <w:spacing w:after="120" w:line="480" w:lineRule="auto"/>
      <w:ind w:left="200" w:leftChars="200"/>
    </w:pPr>
  </w:style>
  <w:style w:type="paragraph" w:customStyle="1" w:styleId="11">
    <w:name w:val="z正文"/>
    <w:basedOn w:val="9"/>
    <w:qFormat/>
    <w:uiPriority w:val="0"/>
    <w:pPr>
      <w:snapToGrid w:val="0"/>
      <w:spacing w:line="360" w:lineRule="auto"/>
    </w:pPr>
    <w:rPr>
      <w:rFonts w:ascii="仿宋_GB2312" w:hAnsi="宋体" w:eastAsia="仿宋_GB2312" w:cs="仿宋_GB2312"/>
      <w:sz w:val="32"/>
      <w:szCs w:val="32"/>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sz w:val="18"/>
    </w:rPr>
  </w:style>
  <w:style w:type="paragraph" w:styleId="15">
    <w:name w:val="HTML Preformatted"/>
    <w:basedOn w:val="1"/>
    <w:qFormat/>
    <w:uiPriority w:val="0"/>
    <w:rPr>
      <w:rFonts w:ascii="Courier New" w:hAnsi="Courier New"/>
      <w:sz w:val="20"/>
      <w:szCs w:val="20"/>
    </w:rPr>
  </w:style>
  <w:style w:type="paragraph" w:styleId="16">
    <w:name w:val="Normal (Web)"/>
    <w:basedOn w:val="1"/>
    <w:qFormat/>
    <w:uiPriority w:val="0"/>
    <w:pPr>
      <w:spacing w:before="100" w:beforeAutospacing="1" w:after="100" w:afterAutospacing="1"/>
      <w:jc w:val="left"/>
    </w:pPr>
    <w:rPr>
      <w:rFonts w:cs="Times New Roman"/>
      <w:kern w:val="0"/>
      <w:sz w:val="24"/>
    </w:rPr>
  </w:style>
  <w:style w:type="paragraph" w:styleId="17">
    <w:name w:val="Body Text First Indent 2"/>
    <w:basedOn w:val="8"/>
    <w:next w:val="1"/>
    <w:qFormat/>
    <w:uiPriority w:val="0"/>
    <w:pPr>
      <w:widowControl w:val="0"/>
      <w:spacing w:line="560" w:lineRule="exact"/>
      <w:ind w:firstLine="200" w:firstLineChars="200"/>
      <w:jc w:val="both"/>
    </w:pPr>
    <w:rPr>
      <w:rFonts w:ascii="仿宋_GB2312" w:hAnsi="仿宋_GB2312" w:eastAsia="仿宋_GB2312" w:cs="仿宋_GB2312"/>
      <w:color w:val="000000"/>
      <w:kern w:val="2"/>
      <w:sz w:val="32"/>
      <w:szCs w:val="32"/>
      <w:lang w:val="en-US" w:eastAsia="zh-CN" w:bidi="ar-SA"/>
    </w:rPr>
  </w:style>
  <w:style w:type="character" w:styleId="20">
    <w:name w:val="Strong"/>
    <w:basedOn w:val="19"/>
    <w:qFormat/>
    <w:uiPriority w:val="0"/>
    <w:rPr>
      <w:b/>
    </w:rPr>
  </w:style>
  <w:style w:type="character" w:styleId="21">
    <w:name w:val="Emphasis"/>
    <w:basedOn w:val="19"/>
    <w:qFormat/>
    <w:uiPriority w:val="0"/>
    <w:rPr>
      <w:i/>
    </w:rPr>
  </w:style>
  <w:style w:type="character" w:customStyle="1" w:styleId="22">
    <w:name w:val="fontstyle21"/>
    <w:basedOn w:val="19"/>
    <w:qFormat/>
    <w:uiPriority w:val="0"/>
    <w:rPr>
      <w:rFonts w:ascii="宋体" w:hAnsi="宋体" w:eastAsia="宋体"/>
      <w:color w:val="000000"/>
      <w:sz w:val="28"/>
      <w:szCs w:val="28"/>
    </w:rPr>
  </w:style>
  <w:style w:type="character" w:customStyle="1" w:styleId="23">
    <w:name w:val="fontstyle01"/>
    <w:basedOn w:val="19"/>
    <w:qFormat/>
    <w:uiPriority w:val="0"/>
    <w:rPr>
      <w:rFonts w:ascii="仿宋_GB2312" w:eastAsia="仿宋_GB2312"/>
      <w:color w:val="000000"/>
      <w:sz w:val="32"/>
      <w:szCs w:val="32"/>
    </w:rPr>
  </w:style>
  <w:style w:type="paragraph" w:customStyle="1" w:styleId="24">
    <w:name w:val="样式1"/>
    <w:basedOn w:val="1"/>
    <w:qFormat/>
    <w:uiPriority w:val="0"/>
  </w:style>
  <w:style w:type="paragraph" w:customStyle="1" w:styleId="25">
    <w:name w:val="Default"/>
    <w:basedOn w:val="26"/>
    <w:qFormat/>
    <w:uiPriority w:val="0"/>
    <w:pPr>
      <w:autoSpaceDE w:val="0"/>
      <w:autoSpaceDN w:val="0"/>
      <w:adjustRightInd w:val="0"/>
    </w:pPr>
    <w:rPr>
      <w:rFonts w:ascii="黑体" w:eastAsia="黑体" w:cs="黑体"/>
      <w:color w:val="000000"/>
      <w:sz w:val="24"/>
      <w:szCs w:val="24"/>
    </w:rPr>
  </w:style>
  <w:style w:type="paragraph" w:customStyle="1" w:styleId="26">
    <w:name w:val="正文 New"/>
    <w:next w:val="25"/>
    <w:qFormat/>
    <w:uiPriority w:val="0"/>
    <w:pPr>
      <w:widowControl w:val="0"/>
      <w:jc w:val="both"/>
    </w:pPr>
    <w:rPr>
      <w:rFonts w:ascii="Calibri" w:hAnsi="Calibri" w:eastAsia="宋体" w:cs="仿宋"/>
      <w:kern w:val="2"/>
      <w:sz w:val="32"/>
      <w:szCs w:val="32"/>
      <w:lang w:val="en-US" w:eastAsia="zh-CN" w:bidi="ar-SA"/>
    </w:rPr>
  </w:style>
  <w:style w:type="paragraph" w:customStyle="1" w:styleId="27">
    <w:name w:val="BodyText"/>
    <w:basedOn w:val="1"/>
    <w:next w:val="1"/>
    <w:qFormat/>
    <w:uiPriority w:val="0"/>
    <w:pPr>
      <w:spacing w:after="120"/>
      <w:textAlignment w:val="baseline"/>
    </w:pPr>
    <w:rPr>
      <w:rFonts w:ascii="Calibri" w:hAnsi="Calibri" w:eastAsia="宋体"/>
      <w:sz w:val="21"/>
      <w:szCs w:val="20"/>
    </w:rPr>
  </w:style>
  <w:style w:type="paragraph" w:styleId="28">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14a6d979-26d1-434c-a2b5-7aedcee60249</errorID>
      <errorWord>踔厉奋发、砥砺前行</errorWord>
      <group>L1_Political</group>
      <groupName>政治性问题</groupName>
      <ability>L2_Keyword</ability>
      <abilityName>固定表述</abilityName>
      <candidateList>
        <item>踔厉奋发、勇毅前行</item>
      </candidateList>
      <explain>词汇“踔厉奋发、勇毅前行”在特定场景下为固定表述形式，请确认此处的“踔厉奋发、砥砺前行”是否存在不当。</explain>
      <paraID>46676D5A</paraID>
      <start>168</start>
      <end>177</end>
      <status>unmodified</status>
      <modifiedWord/>
      <trackRevisions>false</trackRevisions>
    </reviewItem>
    <reviewItem>
      <errorID>b3c0b9cd-f9be-47c0-9300-30671586374e</errorID>
      <errorWord>绿</errorWord>
      <group>L1_Word</group>
      <groupName>字词问题</groupName>
      <ability>L2_Typo</ability>
      <abilityName>字词错误</abilityName>
      <candidateList>
        <item>绿色</item>
      </candidateList>
      <explain/>
      <paraID>38BFE5C4</paraID>
      <start>176</start>
      <end>177</end>
      <status>ignored</status>
      <modifiedWord/>
      <trackRevisions>false</trackRevisions>
    </reviewItem>
    <reviewItem>
      <errorID>4638c26f-1629-488f-b8af-d93cb2801b63</errorID>
      <errorWord>五百强</errorWord>
      <group>L1_Word</group>
      <groupName>字词问题</groupName>
      <ability>L2_Typo</ability>
      <abilityName>字词错误</abilityName>
      <candidateList>
        <item>500强</item>
      </candidateList>
      <explain/>
      <paraID>1B46EA6A</paraID>
      <start>161</start>
      <end>164</end>
      <status>unmodified</status>
      <modifiedWord/>
      <trackRevisions>false</trackRevisions>
    </reviewItem>
    <reviewItem>
      <errorID>a6efeaff-cef7-4416-8e06-560ade039936</errorID>
      <errorWord>其它</errorWord>
      <group>L1_Word</group>
      <groupName>字词问题</groupName>
      <ability>L2_Alias</ability>
      <abilityName>也作/曾用词</abilityName>
      <candidateList>
        <item>其他</item>
      </candidateList>
      <explain>词汇[其它]为不规范表述或旧称，其规范书面表述为[其他]。</explain>
      <paraID>1B46EA6A</paraID>
      <start>220</start>
      <end>222</end>
      <status>unmodified</status>
      <modifiedWord/>
      <trackRevisions>false</trackRevisions>
    </reviewItem>
    <reviewItem>
      <errorID>6e72a142-a56a-4044-9571-128efaaf88e0</errorID>
      <errorWord>打</errorWord>
      <group>L1_Grammar</group>
      <groupName>语法问题</groupName>
      <ability>L2_Missing</ability>
      <abilityName>成分残缺</abilityName>
      <candidateList>
        <item>这打</item>
      </candidateList>
      <explain>句子中可能存在主谓宾、修饰语或者必要的词语残缺。</explain>
      <paraID>7F853EF9</paraID>
      <start>205</start>
      <end>206</end>
      <status>unmodified</status>
      <modifiedWord/>
      <trackRevisions>false</trackRevisions>
    </reviewItem>
    <reviewItem>
      <errorID>b26faa6e-5d02-4b83-b1b0-637febc7dafa</errorID>
      <errorWord>处</errorWord>
      <group>L1_Word</group>
      <groupName>字词问题</groupName>
      <ability>L2_Typo</ability>
      <abilityName>字词错误</abilityName>
      <candidateList>
        <item>所</item>
      </candidateList>
      <explain/>
      <paraID>1AC4B1E7</paraID>
      <start>164</start>
      <end>165</end>
      <status>unmodified</status>
      <modifiedWord/>
      <trackRevisions>false</trackRevisions>
    </reviewItem>
    <reviewItem>
      <errorID>4a4df2d5-ae1b-4cbd-aa91-72f7383513fc</errorID>
      <errorWord>全国学前教育普及普惠县</errorWord>
      <group>L1_Political</group>
      <groupName>政治性问题</groupName>
      <ability>L2_Unpolitical</ability>
      <abilityName>政治敏感错误</abilityName>
      <candidateList>
        <item>国家学前教育普及普惠县</item>
      </candidateList>
      <explain/>
      <paraID>1AC4B1E7</paraID>
      <start>173</start>
      <end>184</end>
      <status>unmodified</status>
      <modifiedWord/>
      <trackRevisions>false</trackRevisions>
    </reviewItem>
    <reviewItem>
      <errorID>153162c4-00b8-4ca7-aa37-8eae9ccd7636</errorID>
      <errorWord>安全感、获得感、幸福感</errorWord>
      <group>L1_Political</group>
      <groupName>政治性问题</groupName>
      <ability>L2_Unpolitical</ability>
      <abilityName>政治敏感错误</abilityName>
      <candidateList>
        <item>获得感、幸福感、安全感</item>
      </candidateList>
      <explain/>
      <paraID>1AC4B1E7</paraID>
      <start>318</start>
      <end>329</end>
      <status>unmodified</status>
      <modifiedWord/>
      <trackRevisions>false</trackRevisions>
    </reviewItem>
    <reviewItem>
      <errorID>4b980144-e5f6-4f6e-b2a6-11098f8b4242</errorID>
      <errorWord>全线精致</errorWord>
      <group>L1_Word</group>
      <groupName>字词问题</groupName>
      <ability>L2_Typo</ability>
      <abilityName>字词错误</abilityName>
      <candidateList>
        <item>全线景致</item>
      </candidateList>
      <explain/>
      <paraID>168D837E</paraID>
      <start>89</start>
      <end>93</end>
      <status>unmodified</status>
      <modifiedWord/>
      <trackRevisions>false</trackRevisions>
    </reviewItem>
    <reviewItem>
      <errorID>40dc25cc-6089-45d1-abe9-d80be977822d</errorID>
      <errorWord>中科院</errorWord>
      <group>L1_Knowledge</group>
      <groupName>知识性问题</groupName>
      <ability>L2_Knowledge</ability>
      <abilityName>其他知识</abilityName>
      <candidateList>
        <item>中国科学院</item>
      </candidateList>
      <explain/>
      <paraID>63D83FA9</paraID>
      <start>196</start>
      <end>199</end>
      <status>unmodified</status>
      <modifiedWord/>
      <trackRevisions>false</trackRevisions>
    </reviewItem>
    <reviewItem>
      <errorID>75cd3379-7875-43e7-8b4c-72bd2e7990d1</errorID>
      <errorWord>,</errorWord>
      <group>L1_Format</group>
      <groupName>格式问题</groupName>
      <ability>L2_HalfPunc</ability>
      <abilityName>全半角检查</abilityName>
      <candidateList>
        <item>，</item>
      </candidateList>
      <explain>文本全半角错误。</explain>
      <paraID>60AAC3EA</paraID>
      <start>29</start>
      <end>30</end>
      <status>unmodified</status>
      <modifiedWord/>
      <trackRevisions>false</trackRevisions>
    </reviewItem>
    <reviewItem>
      <errorID>fdd58a72-ac33-4097-b1fd-c8e8e32c31f3</errorID>
      <errorWord>,</errorWord>
      <group>L1_Format</group>
      <groupName>格式问题</groupName>
      <ability>L2_HalfPunc</ability>
      <abilityName>全半角检查</abilityName>
      <candidateList>
        <item>，</item>
      </candidateList>
      <explain>文本全半角错误。</explain>
      <paraID>4AD60E35</paraID>
      <start>20</start>
      <end>21</end>
      <status>unmodified</status>
      <modifiedWord/>
      <trackRevisions>false</trackRevisions>
    </reviewItem>
    <reviewItem>
      <errorID>f8f5d2d1-7434-482f-a4f7-695310613c3e</errorID>
      <errorWord>办好人民满意教育</errorWord>
      <group>L1_Political</group>
      <groupName>政治性问题</groupName>
      <ability>L2_Keyword</ability>
      <abilityName>固定表述</abilityName>
      <candidateList>
        <item>办好人民满意的教育</item>
      </candidateList>
      <explain>词汇“办好人民满意的教育”在特定场景下为固定表述形式，请确认此处的“办好人民满意教育”是否存在不当。</explain>
      <paraID>32DE4758</paraID>
      <start>0</start>
      <end>8</end>
      <status>unmodified</status>
      <modifiedWord/>
      <trackRevisions>false</trackRevisions>
    </reviewItem>
    <reviewItem>
      <errorID>fa63bb53-e93d-4acc-970a-1dc726f7eb1a</errorID>
      <errorWord>不发生系统性金融风险底线</errorWord>
      <group>L1_Political</group>
      <groupName>政治性问题</groupName>
      <ability>L2_Keyword</ability>
      <abilityName>固定表述</abilityName>
      <candidateList>
        <item>不发生系统性金融风险的底线</item>
      </candidateList>
      <explain>词汇“不发生系统性金融风险的底线”在特定场景下为固定表述形式，请确认此处的“不发生系统性金融风险底线”是否存在不当。</explain>
      <paraID>2B76102F</paraID>
      <start>141</start>
      <end>153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e5006-dcc1-4542-8ecf-db2e970e91cd}">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28</Pages>
  <Words>16562</Words>
  <Characters>17013</Characters>
  <Lines>0</Lines>
  <Paragraphs>57</Paragraphs>
  <TotalTime>45</TotalTime>
  <ScaleCrop>false</ScaleCrop>
  <LinksUpToDate>false</LinksUpToDate>
  <CharactersWithSpaces>17020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2024-01-25T04:54:00Z</dcterms:created>
  <dc:creator>征尘</dc:creator>
  <cp:lastModifiedBy>姜贵斌</cp:lastModifiedBy>
  <cp:lastPrinted>2026-01-23T01:52:00Z</cp:lastPrinted>
  <dcterms:modified xsi:type="dcterms:W3CDTF">2026-02-08T03:45:53Z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7679822DE29541658DCFDFC940E07A1F_13</vt:lpwstr>
  </property>
  <property fmtid="{D5CDD505-2E9C-101B-9397-08002B2CF9AE}" pid="4" name="KSOTemplateDocerSaveRecord">
    <vt:lpwstr>eyJoZGlkIjoiNWY4ZmQ1M2Y3MzEzNDdhMjU0NzY3OWNlNzA0ZmU2MjkiLCJ1c2VySWQiOiIyNDMzNzEwNjAifQ==</vt:lpwstr>
  </property>
</Properties>
</file>