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i w:val="0"/>
          <w:caps w:val="0"/>
          <w:color w:val="000000"/>
          <w:spacing w:val="0"/>
          <w:sz w:val="44"/>
          <w:szCs w:val="44"/>
          <w:shd w:val="clear" w:fill="FFFFFF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44"/>
          <w:szCs w:val="44"/>
          <w:shd w:val="clear" w:fill="FFFFFF"/>
        </w:rPr>
        <w:t>烟台市蓬莱区工业和信息化局政府信息公开申请处理流程</w:t>
      </w:r>
    </w:p>
    <w:p>
      <w:pPr>
        <w:jc w:val="center"/>
        <w:rPr>
          <w:rFonts w:hint="eastAsia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86350" cy="6496050"/>
            <wp:effectExtent l="0" t="0" r="0" b="0"/>
            <wp:docPr id="1" name="图片 1" descr="8be165ec9f8139717a4846a78743f741_39b70362cc3d4587a1f5827700553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be165ec9f8139717a4846a78743f741_39b70362cc3d4587a1f582770055397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649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20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yw</dc:creator>
  <cp:lastModifiedBy>yw</cp:lastModifiedBy>
  <dcterms:modified xsi:type="dcterms:W3CDTF">2022-05-13T00:41:00Z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